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D2" w:rsidRDefault="00145AD2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</w:rPr>
      </w:pPr>
    </w:p>
    <w:tbl>
      <w:tblPr>
        <w:tblW w:w="11446" w:type="dxa"/>
        <w:tblInd w:w="-59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"/>
        <w:gridCol w:w="567"/>
        <w:gridCol w:w="2717"/>
        <w:gridCol w:w="1369"/>
        <w:gridCol w:w="3286"/>
        <w:gridCol w:w="895"/>
        <w:gridCol w:w="2130"/>
        <w:gridCol w:w="241"/>
      </w:tblGrid>
      <w:tr w:rsidR="00145AD2">
        <w:trPr>
          <w:trHeight w:val="1364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45AD2" w:rsidRDefault="003006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45AD2" w:rsidRDefault="003006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45AD2" w:rsidRDefault="0030062A">
            <w:pPr>
              <w:pStyle w:val="5"/>
              <w:widowControl w:val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45AD2" w:rsidRDefault="0030062A">
            <w:pPr>
              <w:widowControl w:val="0"/>
              <w:tabs>
                <w:tab w:val="left" w:pos="97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45AD2" w:rsidRDefault="003006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45AD2" w:rsidRDefault="003006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145AD2" w:rsidRDefault="003006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(стр.)</w:t>
            </w:r>
          </w:p>
          <w:p w:rsidR="00145AD2" w:rsidRDefault="00145AD2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145AD2" w:rsidRDefault="003006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Соавторы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275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cantSplit/>
          <w:trHeight w:val="275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издания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2333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tabs>
                <w:tab w:val="left" w:pos="1410"/>
              </w:tabs>
            </w:pPr>
            <w:r>
              <w:rPr>
                <w:rStyle w:val="a4"/>
                <w:i w:val="0"/>
                <w:iCs/>
                <w:sz w:val="24"/>
                <w:szCs w:val="24"/>
              </w:rPr>
              <w:t xml:space="preserve">Методика </w:t>
            </w:r>
            <w:r>
              <w:rPr>
                <w:rStyle w:val="a4"/>
                <w:i w:val="0"/>
                <w:iCs/>
                <w:sz w:val="24"/>
                <w:szCs w:val="24"/>
              </w:rPr>
              <w:t>проектирования в ландшафтном дизайне</w:t>
            </w:r>
          </w:p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учебно</w:t>
            </w:r>
            <w:proofErr w:type="gramEnd"/>
            <w:r>
              <w:rPr>
                <w:i/>
                <w:sz w:val="24"/>
                <w:szCs w:val="24"/>
              </w:rPr>
              <w:t>-методическое пособие)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</w:pPr>
            <w:r>
              <w:rPr>
                <w:rStyle w:val="xfm50398672"/>
                <w:rFonts w:ascii="Times New Roman" w:hAnsi="Times New Roman"/>
                <w:sz w:val="24"/>
                <w:szCs w:val="24"/>
              </w:rPr>
              <w:t xml:space="preserve">Учебно-методическое пособие. </w:t>
            </w:r>
            <w:r>
              <w:rPr>
                <w:rFonts w:ascii="Times New Roman" w:hAnsi="Times New Roman"/>
                <w:sz w:val="24"/>
                <w:szCs w:val="24"/>
              </w:rPr>
              <w:t>– Ялта: РИО ГПА, 2023. – 206 с.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  <w:p w:rsidR="00145AD2" w:rsidRDefault="00145A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Теоретико-методологические основы преподавания конструкторской графики </w:t>
            </w:r>
            <w:r>
              <w:rPr>
                <w:i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</w:pPr>
            <w:r>
              <w:rPr>
                <w:rStyle w:val="xfm50398672"/>
                <w:sz w:val="24"/>
                <w:szCs w:val="24"/>
              </w:rPr>
              <w:t xml:space="preserve">Учебно-методическое пособие. </w:t>
            </w:r>
            <w:r>
              <w:rPr>
                <w:sz w:val="24"/>
                <w:szCs w:val="24"/>
              </w:rPr>
              <w:t>– Ялта: РИО ГПА, 2024. – 156 с.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376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Научные труды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Инновационное направление в исследовании профессиональной подготовки специалистов-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дизайнеров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и инженерная графика: межведомственный научно-технический сборник. – Мелитополь, 2009.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№ 4. Т. 44. – С.136-141.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Шрифтовые композиции в дизайне ткани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Студенческая практика – ключ к </w:t>
            </w:r>
            <w:r>
              <w:rPr>
                <w:sz w:val="24"/>
                <w:szCs w:val="24"/>
              </w:rPr>
              <w:t>будущей профессии: Материалы Международной научно-практической конференции 20-22 октября 2011 г. – Ялта: РВУЗ КГУ, 2012. – Ч. 1. – С. 159-163.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проект в процессе восприятия потребителя</w:t>
            </w:r>
          </w:p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тезисы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высшего образования в Украине: европейский вектор: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(Ялта, 21-22 марта 2013 г.) / МОН Украины, НАПН Украины, МОНМС АРК, РВУЗ «КГУ» (г. Ялта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А.В. Глузман [и др.]. – Ялта: РВУЗ «КГУ», 2013.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 2. – С. 127-130.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numPr>
                <w:ilvl w:val="0"/>
                <w:numId w:val="2"/>
              </w:num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художественно-образного мышления у студентов-дизайнеров средствами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  <w:p w:rsidR="00145AD2" w:rsidRDefault="0030062A">
            <w:pPr>
              <w:pStyle w:val="1"/>
              <w:numPr>
                <w:ilvl w:val="0"/>
                <w:numId w:val="2"/>
              </w:num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статья)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педагогического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психология. – Сб. статей: – Ялта: РВВ КГУ, 2014.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44. – Ч. 2.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157-163.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фигур на плоскости в контексте изучения дисциплины «Начертательная геометрия и перспектива»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науки: Евразийский Союз ученых (ЕСУ) – Москва, 2014. – С. 96-98.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овладения проектными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умени-ями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студентами-дизайнерами в воспитательной работе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Межвузовский научно-практический семинар «Студент волонтер – активный гражданин и специалист» / Е.О.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Катранжи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– Харьков,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 – С. 32-33.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проектных умений студентов-дизайнеров при проведении занятий, имеющих междисциплинарные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научная статья)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Гуманитарные науки. Научно-практический журнал. – Сб. статей: – Ялта: РВУЗ КГУ, 2015. – № 1.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29.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132-136.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проектных умений студентов-дизайнеров в процессе изучения специальных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позиция личности средствами графического дизайна: 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18-19 декабря 2014 г. – Белгород: ГБОУ ВО «Белгородский государственный институт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искусств и культуры», 2015. –  С. 27-30.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Педагогическая модель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художествен-но-графических умений будущих дизайнеров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Инновационные технологии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образо-вании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Материалы VІІ Международной научно-практической конференции: (сб.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трудов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 – Казань, 2017. – С. 113-117.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графических умений: черчение и технический рисунок </w:t>
            </w:r>
            <w:r>
              <w:rPr>
                <w:i/>
                <w:sz w:val="24"/>
                <w:szCs w:val="24"/>
              </w:rPr>
              <w:t>(методические рекомендации)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tabs>
                <w:tab w:val="left" w:pos="1245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Ялта: РИО ГПА, 2017. – 56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</w:pPr>
            <w:hyperlink r:id="rId5">
              <w: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Применение средств технического рисунка в проектной деятельности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 научно-практическая конференция профессор-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-преподавательского состава,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аспирантов, студентов и молодых ученых «Дни науки КФУ им. В.И. Вернадского» / Сборник тезисов участников / Том 3 Гуманитарно-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академия / Симферополь, 2018. – С. 152-153.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 развития проектных умений будущих дизайнеров в процессе изучения профессиональных дисциплин </w:t>
            </w:r>
            <w:r>
              <w:rPr>
                <w:i/>
                <w:sz w:val="24"/>
                <w:szCs w:val="24"/>
              </w:rPr>
              <w:t>(научная статья ВАК)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tabs>
                <w:tab w:val="left" w:pos="1140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педагогического 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психология: – Сборник научных трудов: – Ялта: РИО ГПА,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59. – Ч. 1. – С. 173-175.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Концепция формирования профессиональной культуры будущих дизайнеров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Международной научно-технической конференции 21 век: фундаментальная наука и технологии 1-2 октября 2018. – Том 2. – С. 45-47.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проектирование</w:t>
            </w:r>
          </w:p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рекомендации)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tabs>
                <w:tab w:val="left" w:pos="1245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Ялта: РИО, 2018. – 120 с.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А.Е. Максименко,</w:t>
            </w:r>
          </w:p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М.С. Михальченко, Л.П. Оноприенко, Е.В.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Гадзина</w:t>
            </w:r>
            <w:proofErr w:type="spellEnd"/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графических умений будущих дизайнеров в процессе проектной деятельности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научного форума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«Образование. Наука. Культура» (21 ноября 2018 г.) [Электронный ресурс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сборник научных статей / Под общ. ред. проф. Б.В. 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Илькевича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Отв. ред. Н.В. Осипова. – Гжель: ГГУ, 2019. – С. 55-57.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 студентов-дизайнеров графическими средствами рисунка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VI Областной (с между-народным участием) Фестиваля 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инноваций «Диалог-2019» по проблемам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(31 января 2019 г.)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/ Первоуральск: ГАПОУ СО «Первоуральский политехникум», 2019.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368-370.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проектных умений будущих дизайнеров в процессе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профессиональной подготовки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современной науки: теория, методология, практика,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Сборник статей по материалам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между-народной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 января 2020 г., г. Уфа). В 2 ч. Ч. 2. – Уфа: Изд. НИЦ Вестник науки, 2020. 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86-91.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32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31"/>
              <w:widowControl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Проектные умения в процессе подготовки будущих дизайнеров проектировщиков (</w:t>
            </w:r>
            <w:r>
              <w:rPr>
                <w:sz w:val="24"/>
                <w:szCs w:val="24"/>
              </w:rPr>
              <w:t>научная статья ВАК)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tabs>
                <w:tab w:val="left" w:pos="1140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Проблемы современного педагогического образования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Сер.: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Педагогика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психоло-гия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– Сборник научных трудов: – Ялта: РИО ГПА, 2020.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163-166.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c"/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Специфика и особенности проектных умений будущих дизайнеров в процессе профессиональной подготовки </w:t>
            </w:r>
            <w:r>
              <w:rPr>
                <w:i/>
                <w:sz w:val="24"/>
                <w:szCs w:val="24"/>
              </w:rPr>
              <w:t>(научная статья ВАК)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tabs>
                <w:tab w:val="left" w:pos="1140"/>
              </w:tabs>
              <w:spacing w:line="240" w:lineRule="auto"/>
              <w:ind w:left="0" w:right="0" w:firstLine="0"/>
              <w:textAlignment w:val="top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журнал Мир науки, культуры, образования. – Алтай, 2020. – № 2 (81). – С. 117-119.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c"/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Методы диагностики развития проектных умений будущих дизайнеров средствами графических дисциплин </w:t>
            </w:r>
            <w:r>
              <w:rPr>
                <w:i/>
                <w:sz w:val="24"/>
                <w:szCs w:val="24"/>
              </w:rPr>
              <w:t>(научная статья ВАК)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Pr="0030062A" w:rsidRDefault="0030062A">
            <w:pPr>
              <w:pStyle w:val="1"/>
              <w:tabs>
                <w:tab w:val="left" w:pos="1140"/>
              </w:tabs>
              <w:spacing w:line="240" w:lineRule="auto"/>
              <w:ind w:left="0" w:right="0" w:firstLine="0"/>
              <w:textAlignment w:val="top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Modern Humanities Success.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Белгород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2020.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№ 9.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С. 74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-79.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45AD2">
        <w:trPr>
          <w:trHeight w:val="1631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tabs>
                <w:tab w:val="left" w:pos="1140"/>
              </w:tabs>
              <w:jc w:val="both"/>
              <w:textAlignment w:val="top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заданий, направленных на развитие проектных </w:t>
            </w:r>
            <w:r>
              <w:rPr>
                <w:color w:val="000000"/>
                <w:sz w:val="24"/>
                <w:szCs w:val="24"/>
              </w:rPr>
              <w:t>умений будущих дизайнеров в процессе изучения графических дисциплин</w:t>
            </w:r>
          </w:p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i/>
                <w:sz w:val="24"/>
                <w:szCs w:val="24"/>
              </w:rPr>
              <w:t xml:space="preserve"> статья ВАК)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Pr="0030062A" w:rsidRDefault="0030062A">
            <w:pPr>
              <w:widowControl w:val="0"/>
              <w:tabs>
                <w:tab w:val="left" w:pos="1140"/>
              </w:tabs>
              <w:jc w:val="both"/>
              <w:textAlignment w:val="top"/>
              <w:rPr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Modern Humanities Success.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Белгород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2020. –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№ 11.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С. 84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-89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45AD2">
        <w:trPr>
          <w:trHeight w:val="1631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художественного потенциала личности студентов в образовательном процессе: на примере педагогического вуза </w:t>
            </w:r>
            <w:r>
              <w:rPr>
                <w:i/>
                <w:sz w:val="24"/>
                <w:szCs w:val="24"/>
              </w:rPr>
              <w:t xml:space="preserve">(научная статья на английском языке, 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входящая в систему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of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Science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Pr="0030062A" w:rsidRDefault="0030062A">
            <w:pPr>
              <w:pStyle w:val="1"/>
              <w:spacing w:line="240" w:lineRule="auto"/>
              <w:ind w:left="0" w:right="0" w:firstLine="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 xml:space="preserve">SHS Web of Conferences, (2021), International Scientific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en-US"/>
              </w:rPr>
              <w:t>and Practical Conference «Teacher Professionalism: Psychological and Pedagogical Support of a Successful Career» (ICTP 2021), Yalta, Russia.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Максименко А.Е.,</w:t>
            </w:r>
          </w:p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Заргарян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38" w:type="dxa"/>
            <w:shd w:val="clear" w:color="auto" w:fill="auto"/>
          </w:tcPr>
          <w:p w:rsidR="00145AD2" w:rsidRPr="0030062A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631"/>
        </w:trPr>
        <w:tc>
          <w:tcPr>
            <w:tcW w:w="241" w:type="dxa"/>
            <w:shd w:val="clear" w:color="auto" w:fill="auto"/>
          </w:tcPr>
          <w:p w:rsidR="00145AD2" w:rsidRPr="0030062A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Pr="0030062A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развития творческого потенциала личности в условиях </w:t>
            </w:r>
            <w:r>
              <w:rPr>
                <w:sz w:val="24"/>
                <w:szCs w:val="24"/>
              </w:rPr>
              <w:t>дополнительного образования</w:t>
            </w:r>
          </w:p>
          <w:p w:rsidR="00145AD2" w:rsidRDefault="0030062A">
            <w:pPr>
              <w:widowControl w:val="0"/>
              <w:contextualSpacing/>
            </w:pPr>
            <w:r>
              <w:rPr>
                <w:rStyle w:val="bigtext"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i/>
                <w:iCs/>
                <w:sz w:val="24"/>
                <w:szCs w:val="24"/>
              </w:rPr>
              <w:t>раздел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в коллективной монографии</w:t>
            </w:r>
            <w:r>
              <w:rPr>
                <w:rStyle w:val="bigtext"/>
                <w:i/>
                <w:iCs/>
                <w:sz w:val="24"/>
                <w:szCs w:val="24"/>
              </w:rPr>
              <w:t>)</w:t>
            </w:r>
          </w:p>
          <w:p w:rsidR="00145AD2" w:rsidRDefault="00145AD2">
            <w:pPr>
              <w:pStyle w:val="1"/>
              <w:spacing w:line="240" w:lineRule="auto"/>
              <w:ind w:left="0"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1"/>
              <w:spacing w:line="240" w:lineRule="auto"/>
              <w:ind w:left="0" w:righ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моно-графия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Международной научно-практической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«Детское изо-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как феномен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российской худо-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культуры»: </w:t>
            </w:r>
            <w:r>
              <w:rPr>
                <w:rStyle w:val="bigtext"/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2022. </w:t>
            </w:r>
            <w:r>
              <w:rPr>
                <w:rStyle w:val="bigtex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 с., </w:t>
            </w:r>
            <w:r>
              <w:rPr>
                <w:rStyle w:val="bigtex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102-123.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А.Е.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45AD2">
        <w:trPr>
          <w:trHeight w:val="1631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творческих умений в процессе подготовки будущих дизайнеров</w:t>
            </w:r>
            <w:r>
              <w:rPr>
                <w:i/>
                <w:iCs/>
                <w:sz w:val="24"/>
                <w:szCs w:val="24"/>
              </w:rPr>
              <w:t xml:space="preserve"> (тезисы докладов научной конференции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Международной научно-практической конференции «Культура и искусство: традиции и современность</w:t>
            </w:r>
            <w:proofErr w:type="gramStart"/>
            <w:r>
              <w:rPr>
                <w:color w:val="000000"/>
                <w:sz w:val="24"/>
                <w:szCs w:val="24"/>
              </w:rPr>
              <w:t>»: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Чебоксары</w:t>
            </w:r>
            <w:proofErr w:type="gramEnd"/>
            <w:r>
              <w:rPr>
                <w:color w:val="000000"/>
                <w:sz w:val="24"/>
                <w:szCs w:val="24"/>
              </w:rPr>
              <w:t>, 2022.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45AD2">
        <w:trPr>
          <w:trHeight w:val="1631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Факторы, влияющие на развитие профессиональной конференции </w:t>
            </w:r>
            <w:r>
              <w:rPr>
                <w:i/>
                <w:iCs/>
                <w:sz w:val="24"/>
                <w:szCs w:val="24"/>
              </w:rPr>
              <w:t>(тезисы докладов научной конференции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Международной научно-практической конференции «Профессионализм педагога: психолого-педагогическое сопровождение успешной карьеры»</w:t>
            </w:r>
            <w:r w:rsidRPr="0030062A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Ялта, </w:t>
            </w:r>
            <w:r>
              <w:rPr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45AD2">
        <w:trPr>
          <w:trHeight w:val="274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</w:pPr>
            <w:hyperlink r:id="rId6">
              <w:r>
                <w:rPr>
                  <w:color w:val="000000" w:themeColor="text1"/>
                  <w:sz w:val="24"/>
                  <w:szCs w:val="24"/>
                </w:rPr>
                <w:t>Применение линейно-конструктивных методов в процессе выполнения курсовых проектов будущих дизайнеров</w:t>
              </w:r>
            </w:hyperlink>
          </w:p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i/>
                <w:sz w:val="24"/>
                <w:szCs w:val="24"/>
              </w:rPr>
              <w:t xml:space="preserve"> статья ВАК)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</w:pPr>
            <w:r>
              <w:rPr>
                <w:rStyle w:val="bigtext"/>
                <w:color w:val="000000"/>
                <w:sz w:val="24"/>
                <w:szCs w:val="24"/>
              </w:rPr>
              <w:t>Проблемы современного педагогического образования.</w:t>
            </w:r>
            <w:r>
              <w:rPr>
                <w:rStyle w:val="bigtext"/>
                <w:color w:val="000000"/>
                <w:sz w:val="24"/>
                <w:szCs w:val="24"/>
              </w:rPr>
              <w:t xml:space="preserve"> – Сборник научных трудов: – Ялта: РИО ГПА, 2022. – </w:t>
            </w:r>
            <w:proofErr w:type="spellStart"/>
            <w:r>
              <w:rPr>
                <w:rStyle w:val="bigtext"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Style w:val="bigtext"/>
                <w:color w:val="000000"/>
                <w:sz w:val="24"/>
                <w:szCs w:val="24"/>
              </w:rPr>
              <w:t>. 70. – Ч. 2. – С. 96-99</w:t>
            </w:r>
          </w:p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перечне российских рецензируемых научных изданий с 01.02.2022 по состоянию на 10.06.2024 № 2236).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274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</w:pPr>
            <w:hyperlink r:id="rId7">
              <w:r>
                <w:rPr>
                  <w:color w:val="000000" w:themeColor="text1"/>
                  <w:sz w:val="24"/>
                  <w:szCs w:val="24"/>
                </w:rPr>
                <w:t xml:space="preserve">Формирование проектных умений </w:t>
              </w:r>
              <w:r>
                <w:rPr>
                  <w:color w:val="000000" w:themeColor="text1"/>
                  <w:sz w:val="24"/>
                  <w:szCs w:val="24"/>
                </w:rPr>
                <w:lastRenderedPageBreak/>
                <w:t>студентов-дизайнеров при проведении практических занятий</w:t>
              </w:r>
            </w:hyperlink>
          </w:p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i/>
                <w:sz w:val="24"/>
                <w:szCs w:val="24"/>
              </w:rPr>
              <w:t xml:space="preserve"> статья ВАК)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</w:pPr>
            <w:r>
              <w:rPr>
                <w:rStyle w:val="bigtext"/>
                <w:color w:val="000000"/>
                <w:sz w:val="24"/>
                <w:szCs w:val="24"/>
              </w:rPr>
              <w:t xml:space="preserve">Проблемы современного педагогического образования. </w:t>
            </w:r>
            <w:r>
              <w:rPr>
                <w:rStyle w:val="bigtext"/>
                <w:color w:val="000000"/>
                <w:sz w:val="24"/>
                <w:szCs w:val="24"/>
              </w:rPr>
              <w:lastRenderedPageBreak/>
              <w:t xml:space="preserve">– Сборник научных трудов: – Ялта: РИО ГПА, 2022. – </w:t>
            </w:r>
            <w:proofErr w:type="spellStart"/>
            <w:r>
              <w:rPr>
                <w:rStyle w:val="bigtext"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Style w:val="bigtext"/>
                <w:color w:val="000000"/>
                <w:sz w:val="24"/>
                <w:szCs w:val="24"/>
              </w:rPr>
              <w:t>. 76. – Ч. 2. – С. 89-91</w:t>
            </w:r>
          </w:p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перечн</w:t>
            </w:r>
            <w:r>
              <w:rPr>
                <w:b/>
                <w:i/>
                <w:sz w:val="24"/>
                <w:szCs w:val="24"/>
              </w:rPr>
              <w:t>е российских рецензируемых научных изданий с 01.02.2022 по состоянию на 10.06.2024 № 2236).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</w:pPr>
            <w:hyperlink r:id="rId8">
              <w:r>
                <w:rPr>
                  <w:rStyle w:val="bigtext"/>
                  <w:color w:val="000000"/>
                  <w:sz w:val="24"/>
                  <w:szCs w:val="24"/>
                </w:rPr>
                <w:t xml:space="preserve">Специфика профессиональной подготовки будущих дизайнеров с применением искусственного </w:t>
              </w:r>
              <w:r>
                <w:rPr>
                  <w:rStyle w:val="bigtext"/>
                  <w:color w:val="000000"/>
                  <w:sz w:val="24"/>
                  <w:szCs w:val="24"/>
                </w:rPr>
                <w:t>интеллекта</w:t>
              </w:r>
            </w:hyperlink>
          </w:p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i/>
                <w:sz w:val="24"/>
                <w:szCs w:val="24"/>
              </w:rPr>
              <w:t xml:space="preserve"> статья ВАК)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</w:pPr>
            <w:r>
              <w:rPr>
                <w:rStyle w:val="bigtext"/>
                <w:color w:val="000000"/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– Ялта: РИО ГПА, 2022. – </w:t>
            </w:r>
            <w:proofErr w:type="spellStart"/>
            <w:r>
              <w:rPr>
                <w:rStyle w:val="bigtext"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Style w:val="bigtext"/>
                <w:color w:val="000000"/>
                <w:sz w:val="24"/>
                <w:szCs w:val="24"/>
              </w:rPr>
              <w:t>. 77. – Ч. 1. – С. 165-169</w:t>
            </w:r>
          </w:p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перечне российских рецензируемых научных изданий с 01.02.2022 по состоянию на </w:t>
            </w:r>
            <w:r>
              <w:rPr>
                <w:b/>
                <w:i/>
                <w:sz w:val="24"/>
                <w:szCs w:val="24"/>
              </w:rPr>
              <w:t>10.06.2024 № 2236).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</w:pPr>
            <w:r>
              <w:rPr>
                <w:rStyle w:val="bigtext"/>
                <w:rFonts w:ascii="Times New Roman" w:hAnsi="Times New Roman"/>
                <w:color w:val="000000"/>
                <w:sz w:val="24"/>
                <w:szCs w:val="24"/>
              </w:rPr>
              <w:t>И.Ю. </w:t>
            </w:r>
            <w:proofErr w:type="spellStart"/>
            <w:r>
              <w:rPr>
                <w:rStyle w:val="bigtext"/>
                <w:rFonts w:ascii="Times New Roman" w:hAnsi="Times New Roman"/>
                <w:color w:val="000000"/>
                <w:sz w:val="24"/>
                <w:szCs w:val="24"/>
              </w:rPr>
              <w:t>Коденко</w:t>
            </w:r>
            <w:proofErr w:type="spellEnd"/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подготовки студентов-дизайнеров</w:t>
            </w:r>
            <w:r>
              <w:rPr>
                <w:i/>
                <w:iCs/>
                <w:sz w:val="24"/>
                <w:szCs w:val="24"/>
              </w:rPr>
              <w:t xml:space="preserve"> (тезисы докладов научной конференции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ind w:left="785"/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color w:val="000000"/>
                <w:sz w:val="24"/>
                <w:szCs w:val="24"/>
                <w:lang w:eastAsia="ja-JP"/>
              </w:rPr>
              <w:t>Материалы Всероссийской конференции «Инновационные технологии в дизайн-образовании и изобразительном искусстве»: Ялта, 2023.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Ландшафтный дизайн как средство формирования дизайнерских навыков и профессиональных качеств обучающегося</w:t>
            </w:r>
            <w:r>
              <w:rPr>
                <w:i/>
                <w:iCs/>
                <w:sz w:val="24"/>
                <w:szCs w:val="24"/>
              </w:rPr>
              <w:t xml:space="preserve"> (тезисы докладов научной конференции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ind w:left="785"/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color w:val="000000"/>
                <w:sz w:val="24"/>
                <w:szCs w:val="24"/>
                <w:lang w:eastAsia="ja-JP"/>
              </w:rPr>
              <w:t>Материалы V Международной научно-практической конференции «Перспективы развития высшей школы»:</w:t>
            </w:r>
            <w:r>
              <w:rPr>
                <w:rFonts w:eastAsia="MS Mincho"/>
                <w:color w:val="000000"/>
                <w:sz w:val="24"/>
                <w:szCs w:val="24"/>
              </w:rPr>
              <w:t xml:space="preserve"> Сургут, 2024.</w:t>
            </w:r>
          </w:p>
        </w:tc>
        <w:tc>
          <w:tcPr>
            <w:tcW w:w="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  <w:tr w:rsidR="00145AD2">
        <w:trPr>
          <w:trHeight w:val="1927"/>
        </w:trPr>
        <w:tc>
          <w:tcPr>
            <w:tcW w:w="241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145AD2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</w:pPr>
            <w:r>
              <w:rPr>
                <w:rStyle w:val="bigtext"/>
                <w:color w:val="000000"/>
                <w:sz w:val="24"/>
                <w:szCs w:val="24"/>
              </w:rPr>
              <w:t>Приемы и методы применения технического рисунка в процессе преподавания художественно-графических дисциплин</w:t>
            </w:r>
          </w:p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i/>
                <w:sz w:val="24"/>
                <w:szCs w:val="24"/>
              </w:rPr>
              <w:t xml:space="preserve"> статья ВАК)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both"/>
            </w:pPr>
            <w:r>
              <w:rPr>
                <w:rStyle w:val="bigtext"/>
                <w:color w:val="000000"/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– Ялта: РИО ГПА, </w:t>
            </w:r>
            <w:r>
              <w:rPr>
                <w:rStyle w:val="bigtext"/>
                <w:color w:val="000000"/>
                <w:sz w:val="24"/>
                <w:szCs w:val="24"/>
              </w:rPr>
              <w:t xml:space="preserve">2024. – </w:t>
            </w:r>
            <w:proofErr w:type="spellStart"/>
            <w:r>
              <w:rPr>
                <w:rStyle w:val="bigtext"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Style w:val="bigtext"/>
                <w:color w:val="000000"/>
                <w:sz w:val="24"/>
                <w:szCs w:val="24"/>
              </w:rPr>
              <w:t>. 83. – Ч. 1. – С. 122-125</w:t>
            </w:r>
          </w:p>
          <w:p w:rsidR="00145AD2" w:rsidRDefault="0030062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перечне российских рецензируемых научных изданий с 01.02.2022 по состоянию на 10.06.2024 № 2236).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45AD2" w:rsidRDefault="0030062A">
            <w:pPr>
              <w:pStyle w:val="ab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38" w:type="dxa"/>
            <w:shd w:val="clear" w:color="auto" w:fill="auto"/>
          </w:tcPr>
          <w:p w:rsidR="00145AD2" w:rsidRDefault="00145AD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45AD2" w:rsidRDefault="00145AD2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</w:rPr>
      </w:pPr>
    </w:p>
    <w:p w:rsidR="00145AD2" w:rsidRDefault="00145AD2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145AD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C01D2"/>
    <w:multiLevelType w:val="multilevel"/>
    <w:tmpl w:val="156E9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09091E"/>
    <w:multiLevelType w:val="multilevel"/>
    <w:tmpl w:val="E88E3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BB75F85"/>
    <w:multiLevelType w:val="multilevel"/>
    <w:tmpl w:val="896C6E4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2"/>
    <w:rsid w:val="00145AD2"/>
    <w:rsid w:val="0030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AA10B-9446-411B-9D51-1B767D1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5">
    <w:name w:val="heading 5"/>
    <w:basedOn w:val="a"/>
    <w:next w:val="a"/>
    <w:qFormat/>
    <w:pPr>
      <w:keepNext/>
      <w:suppressAutoHyphens w:val="0"/>
      <w:jc w:val="center"/>
      <w:outlineLvl w:val="4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character" w:styleId="a4">
    <w:name w:val="Emphasis"/>
    <w:basedOn w:val="a0"/>
    <w:qFormat/>
    <w:rPr>
      <w:rFonts w:cs="Times New Roman"/>
      <w:i/>
    </w:rPr>
  </w:style>
  <w:style w:type="character" w:customStyle="1" w:styleId="xfm50398672">
    <w:name w:val="xfm_50398672"/>
    <w:qFormat/>
  </w:style>
  <w:style w:type="character" w:styleId="a5">
    <w:name w:val="Hyperlink"/>
    <w:rPr>
      <w:color w:val="000080"/>
      <w:u w:val="single"/>
    </w:rPr>
  </w:style>
  <w:style w:type="character" w:customStyle="1" w:styleId="bigtext">
    <w:name w:val="bigtext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11CAC"/>
    <w:pPr>
      <w:widowControl w:val="0"/>
    </w:pPr>
    <w:rPr>
      <w:rFonts w:ascii="Arial" w:eastAsia="MS Mincho" w:hAnsi="Arial" w:cs="Arial"/>
      <w:sz w:val="28"/>
      <w:szCs w:val="20"/>
      <w:lang w:eastAsia="ja-JP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MS Mincho" w:hAnsi="Courier New" w:cs="Courier New"/>
      <w:color w:val="00000A"/>
      <w:sz w:val="20"/>
      <w:szCs w:val="20"/>
      <w:lang w:eastAsia="ja-JP"/>
    </w:rPr>
  </w:style>
  <w:style w:type="paragraph" w:styleId="ab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qFormat/>
    <w:pPr>
      <w:widowControl w:val="0"/>
      <w:snapToGrid w:val="0"/>
      <w:spacing w:line="374" w:lineRule="auto"/>
      <w:ind w:left="1040" w:right="200" w:firstLine="720"/>
      <w:jc w:val="both"/>
    </w:pPr>
    <w:rPr>
      <w:rFonts w:ascii="Courier New" w:eastAsia="Calibri" w:hAnsi="Courier New" w:cs="Courier New"/>
      <w:color w:val="00000A"/>
      <w:sz w:val="18"/>
      <w:szCs w:val="18"/>
      <w:lang w:eastAsia="zh-CN"/>
    </w:rPr>
  </w:style>
  <w:style w:type="paragraph" w:customStyle="1" w:styleId="31">
    <w:name w:val="Основной текст с отступом 31"/>
    <w:basedOn w:val="a"/>
    <w:qFormat/>
    <w:pPr>
      <w:ind w:hanging="108"/>
      <w:textAlignment w:val="baseline"/>
    </w:pPr>
    <w:rPr>
      <w:rFonts w:eastAsia="SimSun"/>
      <w:i/>
      <w:color w:val="000000"/>
    </w:rPr>
  </w:style>
  <w:style w:type="paragraph" w:customStyle="1" w:styleId="ac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02562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980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6262944" TargetMode="External"/><Relationship Id="rId5" Type="http://schemas.openxmlformats.org/officeDocument/2006/relationships/hyperlink" Target="https://elibrary.ru/item.asp?id=41406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dc:description/>
  <cp:lastModifiedBy>Учетная запись Майкрософт</cp:lastModifiedBy>
  <cp:revision>2</cp:revision>
  <dcterms:created xsi:type="dcterms:W3CDTF">2024-10-02T19:26:00Z</dcterms:created>
  <dcterms:modified xsi:type="dcterms:W3CDTF">2024-10-02T19:26:00Z</dcterms:modified>
  <dc:language>ru-RU</dc:language>
</cp:coreProperties>
</file>