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44" w:rsidRDefault="00E908E9">
      <w:pPr>
        <w:ind w:firstLine="794"/>
        <w:rPr>
          <w:color w:val="000000" w:themeColor="text1"/>
          <w:sz w:val="24"/>
          <w:u w:val="single"/>
        </w:rPr>
      </w:pPr>
      <w:bookmarkStart w:id="0" w:name="_GoBack"/>
      <w:bookmarkEnd w:id="0"/>
      <w:r>
        <w:rPr>
          <w:rStyle w:val="a6"/>
          <w:b w:val="0"/>
          <w:color w:val="000000" w:themeColor="text1"/>
          <w:sz w:val="24"/>
          <w:u w:val="single"/>
        </w:rPr>
        <w:t>Публикации (за последние 5 лет):</w:t>
      </w:r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843"/>
        <w:gridCol w:w="1132"/>
        <w:gridCol w:w="3402"/>
        <w:gridCol w:w="992"/>
        <w:gridCol w:w="1353"/>
      </w:tblGrid>
      <w:tr w:rsidR="007E0144" w:rsidTr="007E318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  <w:vAlign w:val="center"/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  <w:vAlign w:val="center"/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  <w:vAlign w:val="center"/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  <w:vAlign w:val="center"/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  <w:vAlign w:val="center"/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</w:t>
            </w:r>
          </w:p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  <w:vAlign w:val="center"/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7E0144" w:rsidTr="007E318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E0144" w:rsidTr="007E318E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7E0144" w:rsidRPr="00381ED9" w:rsidRDefault="007E014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318E" w:rsidTr="007E318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jc w:val="both"/>
              <w:rPr>
                <w:sz w:val="24"/>
                <w:szCs w:val="24"/>
              </w:rPr>
            </w:pPr>
            <w:r w:rsidRPr="00381ED9">
              <w:rPr>
                <w:bCs/>
                <w:sz w:val="24"/>
                <w:szCs w:val="24"/>
              </w:rPr>
              <w:t>Этика</w:t>
            </w:r>
            <w:r w:rsidRPr="00381ED9">
              <w:rPr>
                <w:sz w:val="24"/>
                <w:szCs w:val="24"/>
              </w:rPr>
              <w:t xml:space="preserve"> </w:t>
            </w:r>
          </w:p>
          <w:p w:rsidR="007E318E" w:rsidRPr="00381ED9" w:rsidRDefault="007E318E" w:rsidP="007E318E">
            <w:pPr>
              <w:rPr>
                <w:sz w:val="24"/>
                <w:szCs w:val="24"/>
              </w:rPr>
            </w:pPr>
            <w:r w:rsidRPr="00381ED9">
              <w:rPr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i/>
                <w:sz w:val="24"/>
                <w:szCs w:val="24"/>
              </w:rPr>
              <w:t>уч</w:t>
            </w:r>
            <w:r w:rsidRPr="00381ED9">
              <w:rPr>
                <w:i/>
                <w:sz w:val="24"/>
                <w:szCs w:val="24"/>
                <w:lang w:bidi="ar-YE"/>
              </w:rPr>
              <w:t>ебно</w:t>
            </w:r>
            <w:proofErr w:type="gramEnd"/>
            <w:r w:rsidRPr="00381ED9">
              <w:rPr>
                <w:i/>
                <w:sz w:val="24"/>
                <w:szCs w:val="24"/>
                <w:lang w:bidi="ar-YE"/>
              </w:rPr>
              <w:t>-методическое пособие</w:t>
            </w:r>
            <w:r w:rsidRPr="00381ED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both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Учебно-методическое пособие. – Ялта: Визави, 2020. – 156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-</w:t>
            </w:r>
          </w:p>
        </w:tc>
      </w:tr>
      <w:tr w:rsidR="007E318E" w:rsidTr="007E318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jc w:val="both"/>
              <w:rPr>
                <w:sz w:val="24"/>
                <w:szCs w:val="24"/>
              </w:rPr>
            </w:pPr>
            <w:r w:rsidRPr="00381ED9">
              <w:rPr>
                <w:bCs/>
                <w:sz w:val="24"/>
                <w:szCs w:val="24"/>
              </w:rPr>
              <w:t>Современные социокультурные исследования</w:t>
            </w:r>
          </w:p>
          <w:p w:rsidR="007E318E" w:rsidRPr="00381ED9" w:rsidRDefault="007E318E" w:rsidP="007E318E">
            <w:pPr>
              <w:jc w:val="both"/>
              <w:rPr>
                <w:sz w:val="24"/>
                <w:szCs w:val="24"/>
              </w:rPr>
            </w:pPr>
            <w:r w:rsidRPr="00381ED9">
              <w:rPr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i/>
                <w:sz w:val="24"/>
                <w:szCs w:val="24"/>
              </w:rPr>
              <w:t>уч</w:t>
            </w:r>
            <w:r w:rsidRPr="00381ED9">
              <w:rPr>
                <w:i/>
                <w:sz w:val="24"/>
                <w:szCs w:val="24"/>
                <w:lang w:bidi="ar-YE"/>
              </w:rPr>
              <w:t>ебно</w:t>
            </w:r>
            <w:proofErr w:type="gramEnd"/>
            <w:r w:rsidRPr="00381ED9">
              <w:rPr>
                <w:i/>
                <w:sz w:val="24"/>
                <w:szCs w:val="24"/>
                <w:lang w:bidi="ar-YE"/>
              </w:rPr>
              <w:t>-методическое пособие</w:t>
            </w:r>
            <w:r w:rsidRPr="00381ED9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both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Учебно-методическое пособие. – Ялта: Визави, 2020. – 136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-</w:t>
            </w:r>
          </w:p>
        </w:tc>
      </w:tr>
      <w:tr w:rsidR="007E0144" w:rsidTr="007E318E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0144" w:rsidRPr="00381ED9" w:rsidRDefault="00E908E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7E318E" w:rsidTr="007E318E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Диалог культур в современном мире</w:t>
            </w:r>
          </w:p>
          <w:p w:rsidR="007E318E" w:rsidRPr="00381ED9" w:rsidRDefault="007E318E" w:rsidP="007E318E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статья)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snapToGrid w:val="0"/>
              <w:jc w:val="both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Вестник Чувашского государственного института культуры и искусств. 2020. – С. 147-151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Даниленко А.Н.</w:t>
            </w:r>
          </w:p>
        </w:tc>
      </w:tr>
      <w:tr w:rsidR="007E318E" w:rsidTr="00CE65C1"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Этические дилеммы современного информационного пространства</w:t>
            </w: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(научная статья) </w:t>
            </w:r>
            <w:r w:rsidRPr="00381ED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ВАК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Контекст и рефлексия: философия о мире и человеке. 2020. Том 9. </w:t>
            </w:r>
            <w:proofErr w:type="spellStart"/>
            <w:r w:rsidRPr="00381ED9">
              <w:rPr>
                <w:sz w:val="24"/>
                <w:szCs w:val="24"/>
              </w:rPr>
              <w:t>No</w:t>
            </w:r>
            <w:proofErr w:type="spellEnd"/>
            <w:r w:rsidRPr="00381ED9">
              <w:rPr>
                <w:sz w:val="24"/>
                <w:szCs w:val="24"/>
              </w:rPr>
              <w:t xml:space="preserve"> 3A. – С. 66-73.</w:t>
            </w:r>
          </w:p>
          <w:p w:rsidR="007E318E" w:rsidRPr="00381ED9" w:rsidRDefault="007E318E" w:rsidP="007E318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70" w:type="dxa"/>
              <w:right w:w="75" w:type="dxa"/>
            </w:tcMar>
          </w:tcPr>
          <w:p w:rsidR="007E318E" w:rsidRPr="00381ED9" w:rsidRDefault="007E318E" w:rsidP="007E318E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Проблемы толерантности в контексте коммуникативной философии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статья) </w:t>
            </w:r>
          </w:p>
          <w:p w:rsidR="00CE65C1" w:rsidRPr="00381ED9" w:rsidRDefault="00CE65C1" w:rsidP="00CE65C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1E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Контекст и рефлексия: философия о мире и человеке. – 2020. – Т. 9, № 5A. – С. 22-29</w:t>
            </w:r>
          </w:p>
          <w:p w:rsidR="00CE65C1" w:rsidRPr="00381ED9" w:rsidRDefault="00CE65C1" w:rsidP="00CE65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Развитие представлений о конфликте в философии</w:t>
            </w:r>
          </w:p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iCs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Культура и искусство: традиции и </w:t>
            </w:r>
            <w:proofErr w:type="gramStart"/>
            <w:r w:rsidRPr="00381ED9">
              <w:rPr>
                <w:sz w:val="24"/>
                <w:szCs w:val="24"/>
              </w:rPr>
              <w:t>современность :</w:t>
            </w:r>
            <w:proofErr w:type="gramEnd"/>
            <w:r w:rsidRPr="00381ED9">
              <w:rPr>
                <w:sz w:val="24"/>
                <w:szCs w:val="24"/>
              </w:rPr>
              <w:t xml:space="preserve"> материалы IX Международной научно-практической конференции / БОУ ВО «ЧГИКИ» Минкультуры </w:t>
            </w:r>
            <w:r w:rsidRPr="00381ED9">
              <w:rPr>
                <w:sz w:val="24"/>
                <w:szCs w:val="24"/>
              </w:rPr>
              <w:lastRenderedPageBreak/>
              <w:t xml:space="preserve">Чувашии; отв. ред. В. Ю. </w:t>
            </w:r>
            <w:proofErr w:type="spellStart"/>
            <w:r w:rsidRPr="00381ED9">
              <w:rPr>
                <w:sz w:val="24"/>
                <w:szCs w:val="24"/>
              </w:rPr>
              <w:t>Арестова</w:t>
            </w:r>
            <w:proofErr w:type="spellEnd"/>
            <w:r w:rsidRPr="00381ED9">
              <w:rPr>
                <w:sz w:val="24"/>
                <w:szCs w:val="24"/>
              </w:rPr>
              <w:t xml:space="preserve">. – </w:t>
            </w:r>
            <w:proofErr w:type="gramStart"/>
            <w:r w:rsidRPr="00381ED9">
              <w:rPr>
                <w:sz w:val="24"/>
                <w:szCs w:val="24"/>
              </w:rPr>
              <w:t>Чебоксары :</w:t>
            </w:r>
            <w:proofErr w:type="gramEnd"/>
            <w:r w:rsidRPr="00381ED9">
              <w:rPr>
                <w:sz w:val="24"/>
                <w:szCs w:val="24"/>
              </w:rPr>
              <w:t xml:space="preserve"> Плакат, 2021. – С. 34-36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 xml:space="preserve">Д. А.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Лаврентьев</w:t>
            </w:r>
            <w:proofErr w:type="spellEnd"/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Проблема трансформации ценностей современного </w:t>
            </w:r>
            <w:proofErr w:type="spellStart"/>
            <w:r w:rsidRPr="00381ED9">
              <w:rPr>
                <w:rFonts w:ascii="Times New Roman" w:hAnsi="Times New Roman"/>
                <w:sz w:val="24"/>
                <w:szCs w:val="24"/>
              </w:rPr>
              <w:t>глобализирующего</w:t>
            </w:r>
            <w:proofErr w:type="spellEnd"/>
            <w:r w:rsidRPr="00381ED9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</w:p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статья)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МОЛОДЕЖНАЯ НАУКА КАК ФАКТОР И РЕСУРС ОПЕРЕЖАЮЩЕГО </w:t>
            </w:r>
            <w:proofErr w:type="gramStart"/>
            <w:r w:rsidRPr="00381ED9">
              <w:rPr>
                <w:sz w:val="24"/>
                <w:szCs w:val="24"/>
              </w:rPr>
              <w:t>РАЗВИТИЯ :</w:t>
            </w:r>
            <w:proofErr w:type="gramEnd"/>
            <w:r w:rsidRPr="00381ED9">
              <w:rPr>
                <w:sz w:val="24"/>
                <w:szCs w:val="24"/>
              </w:rPr>
              <w:t xml:space="preserve"> сборник статей VI Международной </w:t>
            </w:r>
            <w:proofErr w:type="spellStart"/>
            <w:r w:rsidRPr="00381ED9">
              <w:rPr>
                <w:sz w:val="24"/>
                <w:szCs w:val="24"/>
              </w:rPr>
              <w:t>научнопрактической</w:t>
            </w:r>
            <w:proofErr w:type="spellEnd"/>
            <w:r w:rsidRPr="00381ED9">
              <w:rPr>
                <w:sz w:val="24"/>
                <w:szCs w:val="24"/>
              </w:rPr>
              <w:t xml:space="preserve"> конференции (10 июня 2021 г.) – Петрозаводск : МЦНП «Новая наука», 2021. – С. 304-307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Концепция диалога в философии М.М. </w:t>
            </w:r>
            <w:proofErr w:type="spellStart"/>
            <w:r w:rsidRPr="00381ED9">
              <w:rPr>
                <w:rFonts w:ascii="Times New Roman" w:hAnsi="Times New Roman"/>
                <w:sz w:val="24"/>
                <w:szCs w:val="24"/>
              </w:rPr>
              <w:t>Бахнита</w:t>
            </w:r>
            <w:proofErr w:type="spellEnd"/>
          </w:p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статья)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bCs/>
                <w:sz w:val="24"/>
                <w:szCs w:val="24"/>
              </w:rPr>
              <w:t xml:space="preserve">Феномен русской философии в мировом духовно-интеллектуальном процессе: </w:t>
            </w:r>
            <w:r w:rsidRPr="00381ED9">
              <w:rPr>
                <w:sz w:val="24"/>
                <w:szCs w:val="24"/>
              </w:rPr>
              <w:t>сборник научных статей по материалам Международной научно-теоретической конференции «</w:t>
            </w:r>
            <w:r w:rsidRPr="00381ED9">
              <w:rPr>
                <w:sz w:val="24"/>
                <w:szCs w:val="24"/>
                <w:lang w:val="en-US"/>
              </w:rPr>
              <w:t>VIII</w:t>
            </w:r>
            <w:r w:rsidRPr="00381ED9">
              <w:rPr>
                <w:sz w:val="24"/>
                <w:szCs w:val="24"/>
              </w:rPr>
              <w:t xml:space="preserve"> Ялтинские философские чтения» (18-19 </w:t>
            </w:r>
            <w:proofErr w:type="gramStart"/>
            <w:r w:rsidRPr="00381ED9">
              <w:rPr>
                <w:sz w:val="24"/>
                <w:szCs w:val="24"/>
              </w:rPr>
              <w:t>ноября  2021</w:t>
            </w:r>
            <w:proofErr w:type="gramEnd"/>
            <w:r w:rsidRPr="00381ED9">
              <w:rPr>
                <w:sz w:val="24"/>
                <w:szCs w:val="24"/>
              </w:rPr>
              <w:t xml:space="preserve"> г., г. Ялта) / Ответственный редактор Т.П. </w:t>
            </w:r>
            <w:proofErr w:type="spellStart"/>
            <w:r w:rsidRPr="00381ED9">
              <w:rPr>
                <w:sz w:val="24"/>
                <w:szCs w:val="24"/>
              </w:rPr>
              <w:t>Разбеглова</w:t>
            </w:r>
            <w:proofErr w:type="spellEnd"/>
            <w:r w:rsidRPr="00381ED9">
              <w:rPr>
                <w:sz w:val="24"/>
                <w:szCs w:val="24"/>
              </w:rPr>
              <w:t>.  – Ялта: РИО ГПА, 2022. – С. 14-16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Перспективы массовых открытых онлайн-курсов как нового формата образовательной деятельности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статья)</w:t>
            </w:r>
          </w:p>
          <w:p w:rsidR="00CE65C1" w:rsidRPr="00381ED9" w:rsidRDefault="00CE65C1" w:rsidP="00CE65C1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381E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ВАК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  <w:lang w:bidi="ar-BH"/>
              </w:rPr>
              <w:t>Электронная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Гуманитарные исследования. Педагогика и психология. 2022. № 10. С. 17–22.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Style w:val="a6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Оптимизация культурного туризма в России как фактор развития социокультурного взаимодействия</w:t>
            </w:r>
          </w:p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i/>
                <w:sz w:val="24"/>
                <w:szCs w:val="24"/>
              </w:rPr>
              <w:t xml:space="preserve">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Пути повышения эффективности управленческой П90 деятельности органов государственной власти в контексте социально-экономического развития территорий: материалы VI Международной науч.-</w:t>
            </w:r>
            <w:proofErr w:type="spellStart"/>
            <w:r w:rsidRPr="00381ED9">
              <w:rPr>
                <w:sz w:val="24"/>
                <w:szCs w:val="24"/>
              </w:rPr>
              <w:t>практ</w:t>
            </w:r>
            <w:proofErr w:type="spellEnd"/>
            <w:proofErr w:type="gramStart"/>
            <w:r w:rsidRPr="00381ED9">
              <w:rPr>
                <w:sz w:val="24"/>
                <w:szCs w:val="24"/>
              </w:rPr>
              <w:t xml:space="preserve">. </w:t>
            </w:r>
            <w:proofErr w:type="spellStart"/>
            <w:r w:rsidRPr="00381ED9">
              <w:rPr>
                <w:sz w:val="24"/>
                <w:szCs w:val="24"/>
              </w:rPr>
              <w:t>конф</w:t>
            </w:r>
            <w:proofErr w:type="spellEnd"/>
            <w:proofErr w:type="gramEnd"/>
            <w:r w:rsidRPr="00381ED9">
              <w:rPr>
                <w:sz w:val="24"/>
                <w:szCs w:val="24"/>
              </w:rPr>
              <w:t>. к 30-летию ГОУ ВПО «ДОНАУИГС» (Донецк, 2-3 июня, 2022 г.). – Донецк: ДОНАУИГС, 2022. – С. 166-170.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«Цветные революции» как механизм экстремальной трансформации политической системы 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sz w:val="24"/>
                <w:szCs w:val="24"/>
              </w:rPr>
              <w:t xml:space="preserve"> статья) ВАК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Евразийский юридический журнал. – 2022. – № 6 (169) – С. 493-495.</w:t>
            </w:r>
          </w:p>
          <w:p w:rsidR="00CE65C1" w:rsidRPr="00381ED9" w:rsidRDefault="00CE65C1" w:rsidP="00CE65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 xml:space="preserve">Н.В.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Чудина-Шмидт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Роль средств массовой коммуникации в формировании социокультурного взаимодействия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proofErr w:type="gramEnd"/>
            <w:r w:rsidRPr="00381ED9">
              <w:rPr>
                <w:rFonts w:ascii="Times New Roman" w:hAnsi="Times New Roman"/>
                <w:sz w:val="24"/>
                <w:szCs w:val="24"/>
              </w:rPr>
              <w:t xml:space="preserve"> монография)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Наука, общество, технологии: проблемы и перспективы взаимодействия в современном мире: коллективная монография / Под общей редакцией Ивановской И.И. – Петрозаводск, 2022. – С. 405-421</w:t>
            </w:r>
          </w:p>
          <w:p w:rsidR="00CE65C1" w:rsidRPr="00381ED9" w:rsidRDefault="00CE65C1" w:rsidP="00CE65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 xml:space="preserve">Абакирова Э.М.,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Aliev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M.M.,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Aliev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R.M., Артемов И.И.,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Архаров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Е.В.,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Атик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Белянцев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А.Е., Гейдарова Е.Н.,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Загоруйко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И.Ю., Зорина И.Г.,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Иванов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А.И.,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Исупов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К.С.,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Казуб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В.Т., Каспаров И.В.,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Клигунов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Е.С.,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Князьков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В.С., Морозов Д.П.,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Паначев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В.Д.,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Семёнова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Н.Н., Стригун Н.С. и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др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Межкультурное взаимодействие в современном мире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>Учебно-методическое пособие. – Ялта: Визави,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RPr="004C2FDB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ideas of communicative philosophy in </w:t>
            </w:r>
            <w:r w:rsidRPr="00381ED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solving the crises of the modern socio-cultural space (</w:t>
            </w:r>
            <w:r w:rsidRPr="00381ED9">
              <w:rPr>
                <w:rFonts w:ascii="Times New Roman" w:hAnsi="Times New Roman"/>
                <w:sz w:val="24"/>
                <w:szCs w:val="24"/>
              </w:rPr>
              <w:t>научная</w:t>
            </w:r>
            <w:r w:rsidRPr="00381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1ED9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81ED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 xml:space="preserve">Web </w:t>
            </w:r>
            <w:proofErr w:type="spellStart"/>
            <w:r w:rsidRPr="00381ED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38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ED9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Вестник Томского государственного университета. Философия. </w:t>
            </w:r>
            <w:r w:rsidRPr="00381ED9">
              <w:rPr>
                <w:sz w:val="24"/>
                <w:szCs w:val="24"/>
              </w:rPr>
              <w:lastRenderedPageBreak/>
              <w:t>Социология. Политология. 2023. № 73. – С. 156-173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 xml:space="preserve">Konoplyova A.A.,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Chudina-</w:t>
            </w:r>
            <w:r w:rsidRPr="00381ED9">
              <w:rPr>
                <w:sz w:val="24"/>
                <w:szCs w:val="24"/>
                <w:lang w:val="uk-UA"/>
              </w:rPr>
              <w:lastRenderedPageBreak/>
              <w:t>Shmidt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N.V., </w:t>
            </w:r>
            <w:proofErr w:type="spellStart"/>
            <w:r w:rsidRPr="00381ED9">
              <w:rPr>
                <w:sz w:val="24"/>
                <w:szCs w:val="24"/>
                <w:lang w:val="uk-UA"/>
              </w:rPr>
              <w:t>Kucherenko</w:t>
            </w:r>
            <w:proofErr w:type="spellEnd"/>
            <w:r w:rsidRPr="00381ED9">
              <w:rPr>
                <w:sz w:val="24"/>
                <w:szCs w:val="24"/>
                <w:lang w:val="uk-UA"/>
              </w:rPr>
              <w:t xml:space="preserve"> S.V.</w:t>
            </w:r>
          </w:p>
        </w:tc>
      </w:tr>
      <w:tr w:rsidR="00CE65C1" w:rsidRPr="0071340A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Учение Канта как методологическая основа духовно-нравственного развития подрастающего поколения</w:t>
            </w:r>
          </w:p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81ED9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  <w:r w:rsidRPr="00381ED9">
              <w:rPr>
                <w:rFonts w:ascii="Times New Roman" w:hAnsi="Times New Roman"/>
                <w:sz w:val="24"/>
                <w:szCs w:val="24"/>
              </w:rPr>
              <w:t xml:space="preserve">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Электр.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Духовно-нравственное развитие современной молодежи как фактор самосовершенствования на основе самопознания [Электронный ресурс]: материалы Всероссийской научно-практической конференции (14-17 ноября 2023 г.) / отв. редактор Н.А. Лобачева. </w:t>
            </w:r>
            <w:proofErr w:type="gramStart"/>
            <w:r w:rsidRPr="00381ED9">
              <w:rPr>
                <w:sz w:val="24"/>
                <w:szCs w:val="24"/>
              </w:rPr>
              <w:t>–  Симферополь</w:t>
            </w:r>
            <w:proofErr w:type="gramEnd"/>
            <w:r w:rsidRPr="00381ED9">
              <w:rPr>
                <w:sz w:val="24"/>
                <w:szCs w:val="24"/>
              </w:rPr>
              <w:t>: ИТ «АРИАЛ», 2023. – С. 164-167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ED9">
              <w:rPr>
                <w:rFonts w:ascii="Times New Roman" w:hAnsi="Times New Roman"/>
                <w:sz w:val="24"/>
                <w:szCs w:val="24"/>
              </w:rPr>
              <w:t>Фейковая</w:t>
            </w:r>
            <w:proofErr w:type="spellEnd"/>
            <w:r w:rsidRPr="00381ED9">
              <w:rPr>
                <w:rFonts w:ascii="Times New Roman" w:hAnsi="Times New Roman"/>
                <w:sz w:val="24"/>
                <w:szCs w:val="24"/>
              </w:rPr>
              <w:t xml:space="preserve"> информация как инструмент манипулирования сознанием в современном цифровом пространстве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Цифровой мир: перспективы и угрозы для человеческой цивилизации. Сборник научных статей по материалам Международной научно-теоретической конференции. – Ялта, 2023 </w:t>
            </w:r>
            <w:proofErr w:type="gramStart"/>
            <w:r w:rsidRPr="00381ED9">
              <w:rPr>
                <w:sz w:val="24"/>
                <w:szCs w:val="24"/>
              </w:rPr>
              <w:t>– .</w:t>
            </w:r>
            <w:proofErr w:type="gramEnd"/>
            <w:r w:rsidRPr="00381ED9">
              <w:rPr>
                <w:sz w:val="24"/>
                <w:szCs w:val="24"/>
              </w:rPr>
              <w:t xml:space="preserve"> С. 38-41.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>Гришин Ю.В.</w:t>
            </w:r>
          </w:p>
        </w:tc>
      </w:tr>
      <w:tr w:rsidR="00CE65C1" w:rsidTr="00CE65C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4C2FDB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CE65C1" w:rsidRPr="00381ED9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Новый формат межкультурного диалога в современных геополитических реалиях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rPr>
                <w:sz w:val="24"/>
                <w:szCs w:val="24"/>
              </w:rPr>
            </w:pPr>
            <w:r w:rsidRPr="00381ED9">
              <w:rPr>
                <w:sz w:val="24"/>
                <w:szCs w:val="24"/>
              </w:rPr>
              <w:t xml:space="preserve">Как возможна другая </w:t>
            </w:r>
            <w:proofErr w:type="gramStart"/>
            <w:r w:rsidRPr="00381ED9">
              <w:rPr>
                <w:sz w:val="24"/>
                <w:szCs w:val="24"/>
              </w:rPr>
              <w:t>философия?</w:t>
            </w:r>
            <w:r w:rsidRPr="00381ED9">
              <w:rPr>
                <w:sz w:val="24"/>
                <w:szCs w:val="24"/>
                <w:lang w:bidi="ar-BH"/>
              </w:rPr>
              <w:t>.</w:t>
            </w:r>
            <w:proofErr w:type="gramEnd"/>
            <w:r w:rsidRPr="00381ED9">
              <w:rPr>
                <w:sz w:val="24"/>
                <w:szCs w:val="24"/>
                <w:lang w:bidi="ar-BH"/>
              </w:rPr>
              <w:t xml:space="preserve"> –</w:t>
            </w:r>
            <w:r w:rsidRPr="00381ED9">
              <w:rPr>
                <w:sz w:val="24"/>
                <w:szCs w:val="24"/>
              </w:rPr>
              <w:t> Материалы Всероссийской научной конференции с международным участием. – Москва, 2023 –. С. 18-19.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1B352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5" w:type="dxa"/>
            </w:tcMar>
          </w:tcPr>
          <w:p w:rsidR="00CE65C1" w:rsidRPr="00381ED9" w:rsidRDefault="00CE65C1" w:rsidP="00CE65C1">
            <w:pPr>
              <w:jc w:val="center"/>
              <w:rPr>
                <w:sz w:val="24"/>
                <w:szCs w:val="24"/>
                <w:lang w:val="uk-UA"/>
              </w:rPr>
            </w:pPr>
            <w:r w:rsidRPr="00381ED9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CE65C1" w:rsidRDefault="00CE65C1" w:rsidP="00CE65C1">
      <w:pPr>
        <w:jc w:val="both"/>
        <w:rPr>
          <w:rStyle w:val="a6"/>
          <w:b w:val="0"/>
          <w:color w:val="000000" w:themeColor="text1"/>
          <w:sz w:val="24"/>
          <w:u w:val="single"/>
        </w:rPr>
      </w:pPr>
    </w:p>
    <w:p w:rsidR="007E0144" w:rsidRDefault="007E0144">
      <w:pPr>
        <w:rPr>
          <w:color w:val="000000" w:themeColor="text1"/>
          <w:sz w:val="24"/>
        </w:rPr>
      </w:pPr>
    </w:p>
    <w:sectPr w:rsidR="007E014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44"/>
    <w:rsid w:val="00300BFC"/>
    <w:rsid w:val="00381ED9"/>
    <w:rsid w:val="004B4EC8"/>
    <w:rsid w:val="004C2FDB"/>
    <w:rsid w:val="00604D02"/>
    <w:rsid w:val="0067472E"/>
    <w:rsid w:val="006A04E4"/>
    <w:rsid w:val="007E0144"/>
    <w:rsid w:val="007E318E"/>
    <w:rsid w:val="00910B74"/>
    <w:rsid w:val="00CE65C1"/>
    <w:rsid w:val="00DC4D6B"/>
    <w:rsid w:val="00E3009E"/>
    <w:rsid w:val="00E908E9"/>
    <w:rsid w:val="00F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0D939-01AD-4CBA-86A4-88192FD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Normal (Web)"/>
    <w:basedOn w:val="a"/>
    <w:rsid w:val="00CE65C1"/>
    <w:pPr>
      <w:suppressAutoHyphens/>
      <w:spacing w:before="280" w:after="280"/>
    </w:pPr>
    <w:rPr>
      <w:color w:val="auto"/>
      <w:sz w:val="24"/>
      <w:szCs w:val="24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CE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67914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Atik</dc:creator>
  <cp:lastModifiedBy>Учетная запись Майкрософт</cp:lastModifiedBy>
  <cp:revision>2</cp:revision>
  <dcterms:created xsi:type="dcterms:W3CDTF">2025-01-20T17:32:00Z</dcterms:created>
  <dcterms:modified xsi:type="dcterms:W3CDTF">2025-01-20T17:32:00Z</dcterms:modified>
</cp:coreProperties>
</file>