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r>
    </w:p>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МИНИСТЕРСТВО ОБРАЗОВАНИЯ И НАУКИ РОССИЙСКОЙ ФЕДЕРАЦИИ</w:t>
      </w:r>
    </w:p>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ФЕДЕРАЛЬНОЕ ГОСУДАРСТВЕННОЕ АВТОНОМНОЕ ОБРАЗОВАТЕЛЬНОЕ УЧРЕЖДЕНИЕ ВЫСШЕГО ОБРАЗОВАНИЯ</w:t>
        <w:br/>
        <w:t xml:space="preserve">«КРЫМСКИЙ ФЕДЕРАЛЬНЫЙ УНИВЕРСИТЕТ ИМЕНИ В.И. ВЕРНАДСКОГО» </w:t>
      </w:r>
    </w:p>
    <w:p>
      <w:pPr>
        <w:pStyle w:val="211"/>
        <w:shd w:fill="FFFFFF" w:val="clear"/>
        <w:tabs>
          <w:tab w:val="left" w:pos="1142" w:leader="none"/>
        </w:tabs>
        <w:spacing w:lineRule="atLeast" w:line="100"/>
        <w:ind w:hanging="0"/>
        <w:jc w:val="center"/>
        <w:rPr>
          <w:rStyle w:val="21"/>
          <w:rFonts w:ascii="Times New Roman" w:hAnsi="Times New Roman" w:cs="Times New Roman"/>
          <w:b/>
          <w:b/>
          <w:color w:val="000000"/>
          <w:sz w:val="24"/>
          <w:szCs w:val="24"/>
        </w:rPr>
      </w:pPr>
      <w:r>
        <w:rPr>
          <w:rStyle w:val="21"/>
          <w:rFonts w:cs="Times New Roman" w:ascii="Times New Roman" w:hAnsi="Times New Roman"/>
          <w:b/>
          <w:color w:val="000000"/>
          <w:sz w:val="24"/>
          <w:szCs w:val="24"/>
        </w:rPr>
        <w:t>ГУМАНИТАРНО-ПЕДАГОГИЧЕСКАЯ АКАДЕМИЯ (ФИЛИАЛ) В Г. ЯЛТЕ</w:t>
      </w:r>
    </w:p>
    <w:p>
      <w:pPr>
        <w:pStyle w:val="211"/>
        <w:shd w:fill="FFFFFF" w:val="clear"/>
        <w:tabs>
          <w:tab w:val="left" w:pos="1142" w:leader="none"/>
        </w:tabs>
        <w:spacing w:lineRule="atLeast" w:line="100"/>
        <w:ind w:hanging="0"/>
        <w:jc w:val="center"/>
        <w:rPr>
          <w:rFonts w:ascii="Times New Roman" w:hAnsi="Times New Roman" w:cs="Times New Roman"/>
        </w:rPr>
      </w:pPr>
      <w:r>
        <w:rPr>
          <w:rStyle w:val="21"/>
          <w:rFonts w:cs="Times New Roman" w:ascii="Times New Roman" w:hAnsi="Times New Roman"/>
          <w:b/>
          <w:color w:val="000000"/>
          <w:sz w:val="24"/>
          <w:szCs w:val="24"/>
        </w:rPr>
        <w:t>Кафедра музыкальной педагогики и исполнительства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ПО ОСВОЕНИЮ ДИСЦИПЛИНЫ «СПЕЦИАЛЬНЫЙ МУЗЫКАЛЬНЫЙ ИНСТРУМЕНТ»</w:t>
      </w:r>
    </w:p>
    <w:p>
      <w:pPr>
        <w:pStyle w:val="Normal"/>
        <w:spacing w:lineRule="auto" w:line="360" w:before="0" w:after="0"/>
        <w:ind w:left="360" w:hanging="0"/>
        <w:jc w:val="center"/>
        <w:rPr>
          <w:rFonts w:ascii="Times New Roman" w:hAnsi="Times New Roman" w:cs="Times New Roman"/>
          <w:b/>
          <w:b/>
        </w:rPr>
      </w:pPr>
      <w:r>
        <w:rPr>
          <w:rFonts w:cs="Times New Roman" w:ascii="Times New Roman" w:hAnsi="Times New Roman"/>
          <w:b/>
          <w:sz w:val="24"/>
          <w:szCs w:val="24"/>
        </w:rPr>
        <w:t xml:space="preserve">Направление подготовки: </w:t>
      </w:r>
      <w:r>
        <w:rPr>
          <w:rFonts w:eastAsia="MS Mincho" w:cs="Times New Roman" w:ascii="Times New Roman" w:hAnsi="Times New Roman"/>
          <w:b/>
          <w:sz w:val="24"/>
          <w:szCs w:val="24"/>
          <w:lang w:eastAsia="ja-JP"/>
        </w:rPr>
        <w:t>53.04.01 Музыкально-инструментальное искусство</w:t>
      </w:r>
    </w:p>
    <w:p>
      <w:pPr>
        <w:pStyle w:val="Normal"/>
        <w:spacing w:lineRule="auto" w:line="360" w:before="0" w:after="0"/>
        <w:ind w:left="360" w:hanging="0"/>
        <w:contextualSpacing/>
        <w:jc w:val="center"/>
        <w:rPr>
          <w:rFonts w:ascii="Times New Roman" w:hAnsi="Times New Roman" w:cs="Times New Roman"/>
        </w:rPr>
      </w:pPr>
      <w:r>
        <w:rPr>
          <w:rFonts w:eastAsia="MS Mincho" w:cs="Times New Roman" w:ascii="Times New Roman" w:hAnsi="Times New Roman"/>
          <w:sz w:val="24"/>
          <w:szCs w:val="24"/>
          <w:lang w:eastAsia="ja-JP"/>
        </w:rPr>
        <w:t xml:space="preserve">Направленность программы:  </w:t>
      </w:r>
      <w:r>
        <w:rPr>
          <w:rFonts w:eastAsia="MS Mincho" w:cs="Times New Roman" w:ascii="Times New Roman" w:hAnsi="Times New Roman"/>
          <w:color w:val="000000"/>
          <w:sz w:val="24"/>
          <w:szCs w:val="24"/>
          <w:lang w:eastAsia="ja-JP"/>
        </w:rPr>
        <w:t xml:space="preserve">Баян, аккордеон и струнные щипковые инструменты / Оркестровые духовые и ударные инструменты / Оркестровые струнные инструменты / </w:t>
      </w:r>
    </w:p>
    <w:p>
      <w:pPr>
        <w:pStyle w:val="Normal"/>
        <w:spacing w:lineRule="auto" w:line="360" w:before="0" w:after="0"/>
        <w:ind w:left="360" w:hanging="0"/>
        <w:jc w:val="center"/>
        <w:rPr>
          <w:rFonts w:ascii="Times New Roman" w:hAnsi="Times New Roman" w:cs="Times New Roman"/>
        </w:rPr>
      </w:pPr>
      <w:r>
        <w:rPr>
          <w:rFonts w:cs="Times New Roman" w:ascii="Times New Roman" w:hAnsi="Times New Roman"/>
          <w:sz w:val="24"/>
          <w:szCs w:val="24"/>
        </w:rPr>
        <w:t xml:space="preserve">Квалификация выпускника: </w:t>
      </w:r>
      <w:r>
        <w:rPr>
          <w:rFonts w:cs="Times New Roman" w:ascii="Times New Roman" w:hAnsi="Times New Roman"/>
          <w:szCs w:val="28"/>
        </w:rPr>
        <w:t>бакалавр.</w:t>
      </w:r>
    </w:p>
    <w:p>
      <w:pPr>
        <w:pStyle w:val="Normal"/>
        <w:jc w:val="right"/>
        <w:rPr>
          <w:rFonts w:ascii="Times New Roman" w:hAnsi="Times New Roman" w:cs="Times New Roman"/>
          <w:b/>
          <w:b/>
          <w:bCs/>
          <w:sz w:val="24"/>
          <w:szCs w:val="24"/>
        </w:rPr>
      </w:pPr>
      <w:r>
        <w:rPr>
          <w:rFonts w:cs="Times New Roman" w:ascii="Times New Roman" w:hAnsi="Times New Roman"/>
          <w:b/>
          <w:bCs/>
          <w:sz w:val="24"/>
          <w:szCs w:val="24"/>
        </w:rPr>
        <w:t>доцент Авилов В.Н.</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eastAsia="Calibri" w:cs="Times New Roman"/>
          <w:b/>
          <w:b/>
          <w:bCs/>
          <w:spacing w:val="0"/>
          <w:sz w:val="24"/>
          <w:szCs w:val="24"/>
        </w:rPr>
      </w:pPr>
      <w:r>
        <w:rPr>
          <w:rFonts w:eastAsia="Calibri" w:cs="Times New Roman" w:ascii="Times New Roman" w:hAnsi="Times New Roman"/>
          <w:sz w:val="24"/>
        </w:rPr>
        <w:t>Ялта – 2017 г.</w:t>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ind w:firstLine="709"/>
        <w:contextualSpacing/>
        <w:rPr>
          <w:rFonts w:ascii="Times New Roman" w:hAnsi="Times New Roman" w:cs="Times New Roman"/>
          <w:sz w:val="28"/>
          <w:szCs w:val="28"/>
        </w:rPr>
      </w:pPr>
      <w:r>
        <w:rPr>
          <w:rFonts w:cs="Times New Roman" w:ascii="Times New Roman" w:hAnsi="Times New Roman"/>
          <w:b/>
          <w:sz w:val="28"/>
          <w:szCs w:val="28"/>
        </w:rPr>
        <w:t>Методические рекомендации по дисциплине «Специальный музыкальный инструмент»</w:t>
      </w:r>
      <w:r>
        <w:rPr>
          <w:rFonts w:cs="Times New Roman" w:ascii="Times New Roman" w:hAnsi="Times New Roman"/>
          <w:sz w:val="24"/>
          <w:szCs w:val="24"/>
        </w:rPr>
        <w:t xml:space="preserve"> </w:t>
      </w:r>
      <w:r>
        <w:rPr>
          <w:rFonts w:cs="Times New Roman" w:ascii="Times New Roman" w:hAnsi="Times New Roman"/>
          <w:sz w:val="28"/>
          <w:szCs w:val="28"/>
        </w:rPr>
        <w:t xml:space="preserve">составлено в соответствии с рабочей программой в помощь студенту при анализе и интерпретации музыкальных произведений. </w:t>
      </w:r>
    </w:p>
    <w:p>
      <w:pPr>
        <w:pStyle w:val="Normal"/>
        <w:spacing w:lineRule="auto" w:line="240" w:before="0" w:after="0"/>
        <w:ind w:firstLine="709"/>
        <w:contextualSpacing/>
        <w:rPr>
          <w:rFonts w:ascii="Times New Roman" w:hAnsi="Times New Roman" w:cs="Times New Roman"/>
          <w:sz w:val="28"/>
          <w:szCs w:val="28"/>
        </w:rPr>
      </w:pPr>
      <w:r>
        <w:rPr>
          <w:rFonts w:cs="Times New Roman" w:ascii="Times New Roman" w:hAnsi="Times New Roman"/>
          <w:b/>
          <w:sz w:val="28"/>
          <w:szCs w:val="28"/>
        </w:rPr>
        <w:t xml:space="preserve">Цель: </w:t>
      </w:r>
      <w:r>
        <w:rPr>
          <w:rFonts w:cs="Times New Roman" w:ascii="Times New Roman" w:hAnsi="Times New Roman"/>
          <w:sz w:val="28"/>
          <w:szCs w:val="28"/>
        </w:rPr>
        <w:t xml:space="preserve">подготовка высококвалифицированных преподавателей, обладающих фундаментальными знаниями и практическими навыками в области музыкально-педагогической и концертно-исполнительской деятельности, развить у обучающихся способность аналитического восприятия художественных произведений, сформировать потребность в общении с искусством посредством изучаемой дисциплины. </w:t>
      </w:r>
    </w:p>
    <w:p>
      <w:pPr>
        <w:pStyle w:val="Normal"/>
        <w:spacing w:lineRule="auto" w:line="240" w:before="0" w:after="0"/>
        <w:ind w:firstLine="709"/>
        <w:contextualSpacing/>
        <w:rPr>
          <w:rFonts w:ascii="Times New Roman" w:hAnsi="Times New Roman" w:cs="Times New Roman"/>
          <w:b/>
          <w:b/>
          <w:sz w:val="28"/>
          <w:szCs w:val="28"/>
        </w:rPr>
      </w:pPr>
      <w:r>
        <w:rPr>
          <w:rFonts w:cs="Times New Roman" w:ascii="Times New Roman" w:hAnsi="Times New Roman"/>
          <w:b/>
          <w:sz w:val="28"/>
          <w:szCs w:val="28"/>
        </w:rPr>
        <w:t>Задачи:</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развитие у студентов музыкально-творческих и инструментально- исполнительских способностей;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формирование широкого музыкального кругозора студентов через овладение ведущими стилями и жанрами мировой музыкальной культуры;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развитие умений грамотно, стилистически и технически верно исполнять музыкальные произведения;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формирование навыков самостоятельной работы над музыкальными произведениями;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развитие у студентов навыков чтения с листа, транспонирования и подбора по слуху, игры в ансамбле и аккомпанемента;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совершенствование умений анализировать музыкальный материал, давать словесный комментарий к исполняемым произведениям. </w:t>
      </w:r>
    </w:p>
    <w:p>
      <w:pPr>
        <w:pStyle w:val="Normal"/>
        <w:spacing w:lineRule="auto" w:line="24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В качестве музыкального материала для различных форм работы на индивидуальных занятиях выступают классические и современные сочинения отечественных и зарубежных авторов. Индивидуальные планы-программы составляются преподавателем в инструментальном классе на каждый семестр к началу занятий индивидуально для каждого студента (с учетом развитости его художественно-технической культуры). </w:t>
      </w:r>
    </w:p>
    <w:p>
      <w:pPr>
        <w:pStyle w:val="Normal"/>
        <w:spacing w:lineRule="auto" w:line="240"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rPr>
          <w:rFonts w:ascii="Times New Roman" w:hAnsi="Times New Roman" w:cs="Times New Roman"/>
          <w:b/>
          <w:b/>
          <w:sz w:val="28"/>
          <w:szCs w:val="28"/>
        </w:rPr>
      </w:pPr>
      <w:r>
        <w:rPr>
          <w:rFonts w:cs="Times New Roman" w:ascii="Times New Roman" w:hAnsi="Times New Roman"/>
          <w:b/>
          <w:sz w:val="28"/>
          <w:szCs w:val="28"/>
        </w:rPr>
        <w:t>Требования к уровню освоения содержания дисциплины:</w:t>
      </w:r>
    </w:p>
    <w:p>
      <w:pPr>
        <w:pStyle w:val="Normal"/>
        <w:spacing w:lineRule="auto" w:line="240" w:before="0" w:after="0"/>
        <w:contextualSpacing/>
        <w:rPr>
          <w:rFonts w:ascii="Times New Roman" w:hAnsi="Times New Roman" w:cs="Times New Roman"/>
          <w:b/>
          <w:b/>
          <w:sz w:val="28"/>
          <w:szCs w:val="28"/>
        </w:rPr>
      </w:pPr>
      <w:r>
        <w:rPr>
          <w:rFonts w:cs="Times New Roman" w:ascii="Times New Roman" w:hAnsi="Times New Roman"/>
          <w:b/>
          <w:sz w:val="28"/>
          <w:szCs w:val="28"/>
        </w:rPr>
        <w:t xml:space="preserve">Студенты должны знать: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стили и направления музыкального искусства;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структуру музыкальной культуры общества;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творческие стили композиторов;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исполнительские стили;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музыкальный репертуар школьной программы;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концертный репертуар композиторов разных школ и направлений. </w:t>
      </w:r>
    </w:p>
    <w:p>
      <w:pPr>
        <w:pStyle w:val="Normal"/>
        <w:spacing w:lineRule="auto" w:line="240" w:before="0" w:after="0"/>
        <w:contextualSpacing/>
        <w:rPr>
          <w:rFonts w:ascii="Times New Roman" w:hAnsi="Times New Roman" w:cs="Times New Roman"/>
          <w:b/>
          <w:b/>
          <w:sz w:val="28"/>
          <w:szCs w:val="28"/>
        </w:rPr>
      </w:pPr>
      <w:r>
        <w:rPr>
          <w:rFonts w:cs="Times New Roman" w:ascii="Times New Roman" w:hAnsi="Times New Roman"/>
          <w:b/>
          <w:sz w:val="28"/>
          <w:szCs w:val="28"/>
        </w:rPr>
        <w:t xml:space="preserve">Студенты должны уметь: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проводить интерпретационный анализ музыкального материала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осуществлять художественно–техническое воплощение композиторского замысла</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в короткие сроки эскизно разучивать музыкальный материал, подбирать по слуху.</w:t>
      </w:r>
    </w:p>
    <w:p>
      <w:pPr>
        <w:pStyle w:val="Normal"/>
        <w:spacing w:lineRule="auto" w:line="240"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Методические рекомендации по организации учебно-исполнительской работы</w:t>
      </w:r>
    </w:p>
    <w:p>
      <w:pPr>
        <w:pStyle w:val="Normal"/>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 xml:space="preserve">Индивидуальный план на семестр должен включать в себя: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сочинение крупной формы или циклическое произведение;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одну-две разнохарактерные пьесы;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этюд;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технико-инструктивный материал (гаммы, арпеджио, аккорды, сиквенции</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упражнения на различные виды исполнительской техники);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произведения для чтения с листа, эскизного разучивания; </w:t>
      </w:r>
    </w:p>
    <w:p>
      <w:pPr>
        <w:pStyle w:val="Normal"/>
        <w:spacing w:lineRule="auto" w:line="240" w:before="0" w:after="0"/>
        <w:ind w:firstLine="709"/>
        <w:contextualSpacing/>
        <w:rPr>
          <w:rFonts w:ascii="Times New Roman" w:hAnsi="Times New Roman" w:cs="Times New Roman"/>
          <w:sz w:val="28"/>
          <w:szCs w:val="28"/>
        </w:rPr>
      </w:pPr>
      <w:r>
        <w:rPr>
          <w:rFonts w:eastAsia="Symbol" w:cs="Times New Roman" w:ascii="Times New Roman" w:hAnsi="Times New Roman"/>
          <w:sz w:val="28"/>
          <w:szCs w:val="28"/>
        </w:rPr>
        <w:t xml:space="preserve">- </w:t>
      </w:r>
      <w:r>
        <w:rPr>
          <w:rFonts w:cs="Times New Roman" w:ascii="Times New Roman" w:hAnsi="Times New Roman"/>
          <w:sz w:val="28"/>
          <w:szCs w:val="28"/>
        </w:rPr>
        <w:t xml:space="preserve">произведения для игры в ансамбле и аккомпанемент (согласно учеб- ному плану).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Методические рекомендации педагогическим работникам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 основу</w:t>
      </w:r>
      <w:r>
        <w:rPr>
          <w:rFonts w:cs="Times New Roman" w:ascii="Times New Roman" w:hAnsi="Times New Roman"/>
          <w:b/>
          <w:sz w:val="28"/>
          <w:szCs w:val="28"/>
        </w:rPr>
        <w:t xml:space="preserve"> </w:t>
      </w:r>
      <w:r>
        <w:rPr>
          <w:rFonts w:cs="Times New Roman" w:ascii="Times New Roman" w:hAnsi="Times New Roman"/>
          <w:sz w:val="28"/>
          <w:szCs w:val="28"/>
        </w:rPr>
        <w:t>преподавания положена методика преподавания и школа игры на сасофоне, дополненная разнообразными видами учебно-практической деятельности, концертными выступлениями и т.д. Наиболее продуктивная форма работы - это уроки, построенные на практических занятиях на инструменте, учебно-практические и творческие задания. Педагог, добиваясь эмоционального отклика, постоянно контролирует постановочные моменты при игре на духовом инструменте. Особое внимание уделяется исполнительскому дыханию, постановке рук, корпуса, головы. Отдельно фиксируется внимание на постановку амбюшура. В процессе образовательного процесса применяется практика концертных выступлений на открытых концертных площадках в рамках фестивалей, конкурсов и т.д.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right="68"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Краткие рекомендации для организации самостоятельной работы по специальности.</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занятий музыкой на всех этапах обучения и формирования исполнителя очень важную роль играет умение учащегося самостоятельно работать и заниматься на инструменте. Этот навык должен быть заложен еще на этапе обучения в музыкальной школе и сопровождать музыканта  на протяжении всей его исполнительской деятельности.</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Заложенные основы в музыкальной школе должны иметь свое подкрепление и  в период обучения в музыкальном колледже. Самостоятельная работа необходима не только для полноценного освоения программы по специальности, но и для глубокого изучения других дисциплин.</w:t>
      </w:r>
    </w:p>
    <w:p>
      <w:pPr>
        <w:pStyle w:val="Normal"/>
        <w:shd w:val="clear" w:color="auto" w:fill="FFFFFF"/>
        <w:spacing w:lineRule="auto" w:line="240" w:before="0" w:after="0"/>
        <w:ind w:left="36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Для  более результативной самостоятельной работы учащийся должен обладать следующими качествами: усердие, трудолюбие, умение анализировать свои действия,  хорошая память и концентрация внимания, самокритичность и огромное желание преодолеть все трудности, встающие на пути освоения поставленных задач.</w:t>
      </w:r>
    </w:p>
    <w:p>
      <w:pPr>
        <w:pStyle w:val="Normal"/>
        <w:shd w:val="clear" w:color="auto" w:fill="FFFFFF"/>
        <w:spacing w:lineRule="auto" w:line="240" w:before="0" w:after="0"/>
        <w:ind w:left="36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Основными принципами организации самостоятельной работы учащегося являются:</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Индивидуальный подход к применению учеником разных методов, приемов и способов работы.</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Формирования у учащегося умения анализировать собственные действия, развитие самостоятельности мышления.</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Осознание учащимся целей и задач своей работы.</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Формирование умения концентрировать внимание.</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Режим работы.</w:t>
      </w:r>
    </w:p>
    <w:p>
      <w:pPr>
        <w:pStyle w:val="Normal"/>
        <w:numPr>
          <w:ilvl w:val="0"/>
          <w:numId w:val="1"/>
        </w:numPr>
        <w:shd w:val="clear" w:color="auto" w:fill="FFFFFF"/>
        <w:spacing w:lineRule="auto" w:line="240" w:before="0" w:after="0"/>
        <w:ind w:left="720"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Мотивация занятий музыкой.</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Важно подчеркнуть необходимость органичной связи всех этих принципов. Сформированные на их основе навыки самостоятельной работы позволят ученику добиться высокой ее  эффективности.</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Самым важным фактором для правильной и результативной самостоятельной работы, является четкое, доходчивое, методически грамотное объяснение педагогом на уроке всех принципов работы, приемов, необходимых для разучивания того или иного технически сложного эпизода, точная  постановка  задачи для самостоятельного решения. То, как в классе было преподнесен  педагогом новый материал, как эффективно прошло его освоение, будет играть решающую роль, ведь даже самым способным и талантливым ученикам не возможно будет выполнить не понятые им задачи. </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right="68" w:hanging="0"/>
        <w:jc w:val="both"/>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i/>
          <w:color w:val="000000"/>
          <w:sz w:val="28"/>
          <w:szCs w:val="28"/>
          <w:lang w:eastAsia="ru-RU"/>
        </w:rPr>
        <w:t>Правильно построенный урок – залог успеха в самостоятельной работе.</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1.Самостоятельная работа не может быть продуктивной, если ее содержание не направлено на решение конкретной задачи.</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Цель определяется актуальными задачами, стоящими перед учеником, перспективами его развития, уровнем подготовки, индивидуальными качествами ученика.</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Используя разнообразные формы: словесное указание, показ, жест, пропевание, педагог добивается конкретного и ясного изложения цели.</w:t>
      </w:r>
    </w:p>
    <w:p>
      <w:pPr>
        <w:pStyle w:val="Normal"/>
        <w:shd w:val="clear" w:color="auto" w:fill="FFFFFF"/>
        <w:spacing w:lineRule="auto" w:line="240" w:before="0" w:after="0"/>
        <w:ind w:right="68"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Необходимо прямо на уроке убедиться в том, что ученик верно понял поставленную перед ним задачу.</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Еще одним, не менее важным фактором, для реализации самостоятельной работы, является заинтересованность учащегося в обучении. Важно дать понять ученику, что от его продуманной и систематизированной самостоятельной работы зависит не только качество концертного выступления, как конечной формы работы над произведением, техникой и пр., но и количество сценических выступлений.  Для многих  обучающихся концертное выступление должно стать главным стимулом для занятий музыкой вообще.</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верной организации учеником самостоятельных занятий необходимо помочь ему установить режим таких занятий. Важнейшим вопросом режима труда является вопрос утомления и отдыха. Утомление является неизбежным следствием всякой работы. Зависит оно от физиологических факторов: количества работы, ее темпа, степени напряженности и той обстановки, в которой она происходит. В формальной, не вызывающей интереса работе наступает психическая усталость. Это может произойти даже после непродолжительных занятий. Поэтому работа должна строиться таким образом, чтобы она была интересной для учащегося, задачи посильными.</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 годами воспитывается выдержка, воля, но существо дела не меняется – утомленное внимание неизбежно ведет к нарушению связи между слухом и движениями, ослаблению слухового контроля, ухудшению работы памяти. Эти и другие признаки утомления делают занятия не только бесполезными, но и вредными.</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Умение отдыхать столь же важно, как и умение работать. Учащийся должен учиться чувствовать  и определять, сколько и как отдыхать. Небольшие перерывы между этапами занятий должны быть направлены исключительно на восстановление сил.</w:t>
      </w:r>
    </w:p>
    <w:p>
      <w:pPr>
        <w:pStyle w:val="Normal"/>
        <w:shd w:val="clear" w:color="auto" w:fill="FFFFFF"/>
        <w:spacing w:lineRule="auto" w:line="240" w:before="0" w:after="0"/>
        <w:ind w:right="68"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этом плане, главной задачей педагога является необходимость объяснения учащемуся, что результат самостоятельной работы зависит не столько от времени, проведенного за инструментом, сколько от  качества выполнения требований, предъявляемых педагогом и  учеником к самому себе.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 настоящее время накопилось много вопросов и проблем, связанных с подготовкой и обучением студентов по классу классического саксофона. Сразу хочу отметить, что это мое личное (субъективное) мнение.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Первое противоречие: на джазовом отделении студентов одновременно обучают джазовой и классической музыке, на классическом отделении обучают только классической, напрочь отрицая джазовую музыку. Однако на практике, тем более в условиях конкуренции на музыкальном рынке, без знания джазовой музыки и умения ее исполнять у музыканта-саксофониста возникают большие проблемы с трудоустройством.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окончании учебного заведения наиболее удачно (комфортно) устраиваются только те, кто параллельно с классической музыкой в учебном заведении изучал джазовую. А другие, не "знающие" эстрадно-джазовой музыки, даже после окончания аспирантуры остаются без работы, и в лучшем случае трудятся в музыкальной школе, а в худшем - меняют профессию в целом.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Общеизвестно, что для работы в музыкальной школе совсем не обязательно заканчивать аспирантуру. Аспирантура в идеале нужна преподавателям, работающим в ВУЗах и там преподающим класс саксофона.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О школах игры на саксофоне.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нашей практике наиболее распространены две школы игры на саксофоне - французская и американская. У французов фантастическая технология, но звук "французского" саксофона напоминает то звук гобоя, то фагота, а вибрация с частой амплитудой колебания вызывает сомнения.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Американская школа обучения игре на саксофоне ничуть не хуже французской. И, на мой субъективный взгляд, для саксофонистов России она более востребована, поскольку в целом звучание саксофона у американцев лучше. Плюс к этому еще и то, что все американские джазовые саксофонисты играют классическую музыку и играют ее хорошо.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Об импровизации.</w:t>
      </w:r>
      <w:r>
        <w:rPr>
          <w:rFonts w:cs="Times New Roman" w:ascii="Times New Roman" w:hAnsi="Times New Roman"/>
          <w:sz w:val="28"/>
          <w:szCs w:val="28"/>
        </w:rPr>
        <w:t xml:space="preserve"> Некоторые полагают, что изучение джазовой музыки сводится к освоению импровизации. Импровизация - это особое искусство и природный дар исполнителя одновременно. Умение импровизировать дано не всем, но учиться и в какой-то степени научиться можно. Главное в обучении игре на саксофоне - быть хорошим джазовым оркестровым музыкантом, владеющим джазовой техникой игры на инструменте и стилями джазовой музыки.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О "семействе" саксофонов.</w:t>
      </w:r>
      <w:r>
        <w:rPr>
          <w:rFonts w:cs="Times New Roman" w:ascii="Times New Roman" w:hAnsi="Times New Roman"/>
          <w:sz w:val="28"/>
          <w:szCs w:val="28"/>
        </w:rPr>
        <w:t xml:space="preserve"> На классических отделениях обучают только на альт саксофонах, иногда играют на сопрано.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А как же быть с тенористами и баритонистами? А как создавать ансамбли, и какого они будут качества, если студент берет тенор или баритон эпизодически? Некоторые педагоги объясняют трудности в решении этого вопроса, ссылаясь на нехватку нотной литературы для тенора и баритона. Уверяю Вас, что нотной литературы для этих инструментов не меньше, чем для альт саксофона. И еще. При выборе того или иного вида саксофона нельзя не учитывать природные физические данные студента-саксофониста, его физиологические данные, в частности, особенности его губного аппарата. И конечно, в этом вопросе главное - желание музыканта играть на теноре или, например, баритоне.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 заключение хочется сказать, что саксофон завоевал своё законное место на эстраде вместе с другими духовыми инструментами. И в первую очередь хочется пожелать музыкантам, обучающимся на классическом отделении, начать заниматься джазовой музыкой. Недопустимо, чтобы музыкант обошёл стороной такой интересный и большой раздел музыкальной культуры. Без знания джазовой музыки музыкант становится как бы неполноценным - ведь саксофон, эстрада и джаз являются звеньями одной цепи.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Классическая и джазовая музыка - это грани одного бриллианта.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Сегодня саксофон - один из ярчайших духовых инструментов, и какая бы музыка на нём не исполнялась, классическая, джазовая или популярная, она всегда вызывает прилив радости и большого удовлетворения от услышанного и увиденного. Потому что звучит саксофон.»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4"/>
          <w:szCs w:val="24"/>
          <w:lang w:eastAsia="ru-RU"/>
        </w:rPr>
        <w:t xml:space="preserve"> </w:t>
      </w:r>
      <w:r>
        <w:rPr>
          <w:rFonts w:cs="Times New Roman" w:ascii="Times New Roman" w:hAnsi="Times New Roman"/>
          <w:sz w:val="28"/>
          <w:szCs w:val="28"/>
        </w:rPr>
        <w:t>Заслуженный артист РФ; Заслуженный деятель искусств РФ; профессор РАМ им.Гнесиных и МГИМ им.А.Г.Шнитке; кандидат философских наук, Юрий Воронцов)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2b2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Style12"/>
    <w:pPr/>
    <w:rPr/>
  </w:style>
  <w:style w:type="paragraph" w:styleId="2">
    <w:name w:val="Заголовок 2"/>
    <w:basedOn w:val="Style12"/>
    <w:pPr/>
    <w:rPr/>
  </w:style>
  <w:style w:type="paragraph" w:styleId="3">
    <w:name w:val="Заголовок 3"/>
    <w:basedOn w:val="Style12"/>
    <w:pPr/>
    <w:rPr/>
  </w:style>
  <w:style w:type="character" w:styleId="DefaultParagraphFont" w:default="1">
    <w:name w:val="Default Paragraph Font"/>
    <w:uiPriority w:val="1"/>
    <w:unhideWhenUsed/>
    <w:qFormat/>
    <w:rPr/>
  </w:style>
  <w:style w:type="character" w:styleId="21" w:customStyle="1">
    <w:name w:val="Основной текст (21)_"/>
    <w:qFormat/>
    <w:rsid w:val="00a65485"/>
    <w:rPr>
      <w:sz w:val="29"/>
    </w:rPr>
  </w:style>
  <w:style w:type="character" w:styleId="Style11" w:customStyle="1">
    <w:name w:val="Интернет-ссылка"/>
    <w:rsid w:val="00a65485"/>
    <w:rPr>
      <w:color w:val="0000FF"/>
      <w:u w:val="single"/>
    </w:rPr>
  </w:style>
  <w:style w:type="character" w:styleId="ListLabel1" w:customStyle="1">
    <w:name w:val="ListLabel 1"/>
    <w:qFormat/>
    <w:rsid w:val="00ba1cdf"/>
    <w:rPr>
      <w:rFonts w:ascii="Times New Roman" w:hAnsi="Times New Roman" w:eastAsia="Times New Roman" w:cs="Symbol"/>
      <w:b/>
      <w:bCs/>
      <w:i/>
      <w:iCs/>
      <w:sz w:val="28"/>
      <w:szCs w:val="24"/>
      <w:lang w:eastAsia="ja-JP"/>
    </w:rPr>
  </w:style>
  <w:style w:type="character" w:styleId="ListLabel2" w:customStyle="1">
    <w:name w:val="ListLabel 2"/>
    <w:qFormat/>
    <w:rsid w:val="00ba1cdf"/>
    <w:rPr>
      <w:rFonts w:eastAsia="MS Mincho" w:cs="Courier New"/>
      <w:b/>
      <w:bCs/>
      <w:sz w:val="20"/>
      <w:szCs w:val="24"/>
      <w:lang w:val="ru-RU" w:eastAsia="ja-JP"/>
    </w:rPr>
  </w:style>
  <w:style w:type="character" w:styleId="ListLabel3" w:customStyle="1">
    <w:name w:val="ListLabel 3"/>
    <w:qFormat/>
    <w:rsid w:val="00ba1cdf"/>
    <w:rPr>
      <w:rFonts w:eastAsia="Times New Roman" w:cs="Wingdings"/>
      <w:b/>
      <w:bCs/>
      <w:i/>
      <w:sz w:val="20"/>
      <w:szCs w:val="24"/>
    </w:rPr>
  </w:style>
  <w:style w:type="character" w:styleId="C1" w:customStyle="1">
    <w:name w:val="c1"/>
    <w:basedOn w:val="DefaultParagraphFont"/>
    <w:qFormat/>
    <w:rsid w:val="000b6ab3"/>
    <w:rPr/>
  </w:style>
  <w:style w:type="character" w:styleId="ListLabel4">
    <w:name w:val="ListLabel 4"/>
    <w:qFormat/>
    <w:rPr>
      <w:rFonts w:eastAsia="Times New Roman" w:cs="Symbol"/>
      <w:b/>
      <w:bCs/>
      <w:i/>
      <w:iCs/>
      <w:sz w:val="28"/>
      <w:szCs w:val="24"/>
      <w:lang w:eastAsia="ja-JP"/>
    </w:rPr>
  </w:style>
  <w:style w:type="character" w:styleId="ListLabel5">
    <w:name w:val="ListLabel 5"/>
    <w:qFormat/>
    <w:rPr>
      <w:rFonts w:eastAsia="MS Mincho" w:cs="Courier New"/>
      <w:b/>
      <w:bCs/>
      <w:sz w:val="20"/>
      <w:szCs w:val="24"/>
      <w:lang w:val="ru-RU" w:eastAsia="ja-JP"/>
    </w:rPr>
  </w:style>
  <w:style w:type="character" w:styleId="ListLabel6">
    <w:name w:val="ListLabel 6"/>
    <w:qFormat/>
    <w:rPr>
      <w:rFonts w:eastAsia="Times New Roman" w:cs="Wingdings"/>
      <w:b/>
      <w:bCs/>
      <w:i/>
      <w:sz w:val="20"/>
      <w:szCs w:val="24"/>
    </w:rPr>
  </w:style>
  <w:style w:type="paragraph" w:styleId="Style12" w:customStyle="1">
    <w:name w:val="Заголовок"/>
    <w:basedOn w:val="Normal"/>
    <w:next w:val="Style13"/>
    <w:qFormat/>
    <w:rsid w:val="00ba1cdf"/>
    <w:pPr>
      <w:keepNext/>
      <w:spacing w:before="240" w:after="120"/>
    </w:pPr>
    <w:rPr>
      <w:rFonts w:ascii="Liberation Sans" w:hAnsi="Liberation Sans" w:eastAsia="Lucida Sans Unicode" w:cs="Mangal"/>
      <w:sz w:val="28"/>
      <w:szCs w:val="28"/>
    </w:rPr>
  </w:style>
  <w:style w:type="paragraph" w:styleId="Style13">
    <w:name w:val="Основной текст"/>
    <w:basedOn w:val="Normal"/>
    <w:rsid w:val="00ba1cdf"/>
    <w:pPr>
      <w:spacing w:lineRule="auto" w:line="288" w:before="0" w:after="140"/>
    </w:pPr>
    <w:rPr/>
  </w:style>
  <w:style w:type="paragraph" w:styleId="Style14">
    <w:name w:val="Список"/>
    <w:basedOn w:val="Style13"/>
    <w:rsid w:val="00ba1cdf"/>
    <w:pPr/>
    <w:rPr>
      <w:rFonts w:cs="Mangal"/>
    </w:rPr>
  </w:style>
  <w:style w:type="paragraph" w:styleId="Style15" w:customStyle="1">
    <w:name w:val="Название"/>
    <w:basedOn w:val="Normal"/>
    <w:qFormat/>
    <w:rsid w:val="00ba1cdf"/>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Indexheading">
    <w:name w:val="index heading"/>
    <w:basedOn w:val="Normal"/>
    <w:qFormat/>
    <w:rsid w:val="00ba1cdf"/>
    <w:pPr>
      <w:suppressLineNumbers/>
    </w:pPr>
    <w:rPr>
      <w:rFonts w:cs="Mangal"/>
    </w:rPr>
  </w:style>
  <w:style w:type="paragraph" w:styleId="211" w:customStyle="1">
    <w:name w:val="Основной текст (21)1"/>
    <w:basedOn w:val="Normal"/>
    <w:qFormat/>
    <w:rsid w:val="00a65485"/>
    <w:pPr>
      <w:widowControl w:val="false"/>
      <w:shd w:val="clear" w:color="auto" w:fill="FFFFFF"/>
      <w:suppressAutoHyphens w:val="true"/>
      <w:spacing w:lineRule="atLeast" w:line="240" w:before="0" w:after="0"/>
      <w:ind w:hanging="1340"/>
    </w:pPr>
    <w:rPr>
      <w:rFonts w:ascii="Calibri" w:hAnsi="Calibri" w:eastAsia="SimSun" w:cs="Calibri"/>
      <w:sz w:val="29"/>
      <w:szCs w:val="29"/>
      <w:lang w:eastAsia="zh-CN"/>
    </w:rPr>
  </w:style>
  <w:style w:type="paragraph" w:styleId="ListParagraph">
    <w:name w:val="List Paragraph"/>
    <w:basedOn w:val="Normal"/>
    <w:qFormat/>
    <w:rsid w:val="00a65485"/>
    <w:pPr>
      <w:spacing w:lineRule="auto" w:line="240" w:before="0" w:after="0"/>
      <w:ind w:left="708" w:hanging="0"/>
    </w:pPr>
    <w:rPr>
      <w:rFonts w:ascii="Times New Roman" w:hAnsi="Times New Roman" w:eastAsia="Times New Roman" w:cs="Times New Roman"/>
      <w:sz w:val="28"/>
      <w:szCs w:val="24"/>
      <w:lang w:eastAsia="zh-CN"/>
    </w:rPr>
  </w:style>
  <w:style w:type="paragraph" w:styleId="Default" w:customStyle="1">
    <w:name w:val="Default"/>
    <w:qFormat/>
    <w:rsid w:val="00a65485"/>
    <w:pPr>
      <w:widowControl/>
      <w:suppressAutoHyphens w:val="true"/>
      <w:bidi w:val="0"/>
      <w:jc w:val="left"/>
    </w:pPr>
    <w:rPr>
      <w:rFonts w:ascii="Times New Roman" w:hAnsi="Times New Roman" w:eastAsia="Times New Roman" w:cs="Times New Roman"/>
      <w:color w:val="000000"/>
      <w:sz w:val="24"/>
      <w:szCs w:val="24"/>
      <w:lang w:val="uk-UA" w:eastAsia="zh-CN" w:bidi="ar-SA"/>
    </w:rPr>
  </w:style>
  <w:style w:type="paragraph" w:styleId="C11" w:customStyle="1">
    <w:name w:val="c11"/>
    <w:basedOn w:val="Normal"/>
    <w:qFormat/>
    <w:rsid w:val="000b6ab3"/>
    <w:pPr>
      <w:spacing w:lineRule="auto" w:line="240" w:beforeAutospacing="1" w:afterAutospacing="1"/>
    </w:pPr>
    <w:rPr>
      <w:rFonts w:ascii="Times New Roman" w:hAnsi="Times New Roman" w:eastAsia="Times New Roman" w:cs="Times New Roman"/>
      <w:sz w:val="24"/>
      <w:szCs w:val="24"/>
      <w:lang w:eastAsia="ru-RU"/>
    </w:rPr>
  </w:style>
  <w:style w:type="paragraph" w:styleId="C12" w:customStyle="1">
    <w:name w:val="c12"/>
    <w:basedOn w:val="Normal"/>
    <w:qFormat/>
    <w:rsid w:val="000b6ab3"/>
    <w:pPr>
      <w:spacing w:lineRule="auto" w:line="240" w:beforeAutospacing="1" w:afterAutospacing="1"/>
    </w:pPr>
    <w:rPr>
      <w:rFonts w:ascii="Times New Roman" w:hAnsi="Times New Roman" w:eastAsia="Times New Roman" w:cs="Times New Roman"/>
      <w:sz w:val="24"/>
      <w:szCs w:val="24"/>
      <w:lang w:eastAsia="ru-RU"/>
    </w:rPr>
  </w:style>
  <w:style w:type="paragraph" w:styleId="C13" w:customStyle="1">
    <w:name w:val="c13"/>
    <w:basedOn w:val="Normal"/>
    <w:qFormat/>
    <w:rsid w:val="000b6ab3"/>
    <w:pPr>
      <w:spacing w:lineRule="auto" w:line="240" w:beforeAutospacing="1" w:afterAutospacing="1"/>
    </w:pPr>
    <w:rPr>
      <w:rFonts w:ascii="Times New Roman" w:hAnsi="Times New Roman" w:eastAsia="Times New Roman" w:cs="Times New Roman"/>
      <w:sz w:val="24"/>
      <w:szCs w:val="24"/>
      <w:lang w:eastAsia="ru-RU"/>
    </w:rPr>
  </w:style>
  <w:style w:type="paragraph" w:styleId="C9" w:customStyle="1">
    <w:name w:val="c9"/>
    <w:basedOn w:val="Normal"/>
    <w:qFormat/>
    <w:rsid w:val="000b6ab3"/>
    <w:pPr>
      <w:spacing w:lineRule="auto" w:line="240" w:beforeAutospacing="1" w:afterAutospacing="1"/>
    </w:pPr>
    <w:rPr>
      <w:rFonts w:ascii="Times New Roman" w:hAnsi="Times New Roman" w:eastAsia="Times New Roman" w:cs="Times New Roman"/>
      <w:sz w:val="24"/>
      <w:szCs w:val="24"/>
      <w:lang w:eastAsia="ru-RU"/>
    </w:rPr>
  </w:style>
  <w:style w:type="paragraph" w:styleId="Style17">
    <w:name w:val="Блочная цитата"/>
    <w:basedOn w:val="Normal"/>
    <w:qFormat/>
    <w:pPr/>
    <w:rPr/>
  </w:style>
  <w:style w:type="paragraph" w:styleId="Style18">
    <w:name w:val="Заглавие"/>
    <w:basedOn w:val="Style12"/>
    <w:pPr/>
    <w:rPr/>
  </w:style>
  <w:style w:type="paragraph" w:styleId="Style19">
    <w:name w:val="Подзаголовок"/>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7f5aa4"/>
    <w:pPr>
      <w:ind w:right="0"/>
      <w:jc w:val="both"/>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LibreOffice/5.0.1.2$Windows_x86 LibreOffice_project/81898c9f5c0d43f3473ba111d7b351050be20261</Application>
  <Paragraphs>80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2018-01-28T07:30:00Z</dcterms:created>
  <dc:creator>aaa</dc:creator>
  <dc:language>ru-RU</dc:language>
  <cp:lastPrinted>2018-01-29T11:51:00Z</cp:lastPrinted>
  <dcterms:modified xsi:type="dcterms:W3CDTF">2018-04-05T12:46:00Z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